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F6" w:rsidRPr="00DF74F6" w:rsidRDefault="00DF74F6" w:rsidP="00DF74F6">
      <w:pPr>
        <w:jc w:val="center"/>
        <w:rPr>
          <w:rFonts w:ascii="Times New Roman" w:eastAsia="Times New Roman" w:hAnsi="Times New Roman" w:cs="Times New Roman"/>
          <w:b/>
          <w:bCs/>
          <w:sz w:val="48"/>
          <w:szCs w:val="24"/>
        </w:rPr>
      </w:pPr>
    </w:p>
    <w:p w:rsidR="00DF74F6" w:rsidRPr="00DF74F6" w:rsidRDefault="00DF74F6" w:rsidP="00DF74F6">
      <w:pPr>
        <w:spacing w:after="0" w:line="240" w:lineRule="auto"/>
        <w:jc w:val="center"/>
        <w:rPr>
          <w:rFonts w:ascii="Times New Roman" w:eastAsia="Times New Roman" w:hAnsi="Times New Roman" w:cs="Times New Roman"/>
          <w:sz w:val="24"/>
          <w:szCs w:val="24"/>
        </w:rPr>
      </w:pPr>
      <w:r w:rsidRPr="00DF74F6">
        <w:rPr>
          <w:rFonts w:ascii="Times New Roman" w:eastAsia="Times New Roman" w:hAnsi="Times New Roman" w:cs="Times New Roman"/>
          <w:sz w:val="24"/>
          <w:szCs w:val="24"/>
        </w:rPr>
        <w:t>Stevens Institute of Technology</w:t>
      </w:r>
    </w:p>
    <w:p w:rsidR="00DF74F6" w:rsidRPr="00DF74F6" w:rsidRDefault="00DF74F6" w:rsidP="00DF74F6">
      <w:pPr>
        <w:spacing w:after="0" w:line="240" w:lineRule="auto"/>
        <w:jc w:val="center"/>
        <w:rPr>
          <w:rFonts w:ascii="Times New Roman" w:eastAsia="Times New Roman" w:hAnsi="Times New Roman" w:cs="Times New Roman"/>
          <w:sz w:val="24"/>
          <w:szCs w:val="24"/>
        </w:rPr>
      </w:pPr>
      <w:r w:rsidRPr="00DF74F6">
        <w:rPr>
          <w:rFonts w:ascii="Times New Roman" w:eastAsia="Times New Roman" w:hAnsi="Times New Roman" w:cs="Times New Roman"/>
          <w:sz w:val="24"/>
          <w:szCs w:val="24"/>
        </w:rPr>
        <w:t>Howe School of Technology Management</w:t>
      </w:r>
    </w:p>
    <w:p w:rsidR="00DF74F6" w:rsidRPr="00DF74F6" w:rsidRDefault="00DF74F6" w:rsidP="00DF74F6">
      <w:pPr>
        <w:spacing w:after="0" w:line="240" w:lineRule="auto"/>
        <w:jc w:val="center"/>
        <w:rPr>
          <w:rFonts w:ascii="Times New Roman" w:eastAsia="Times New Roman" w:hAnsi="Times New Roman" w:cs="Times New Roman"/>
          <w:sz w:val="36"/>
          <w:szCs w:val="36"/>
        </w:rPr>
      </w:pPr>
      <w:r w:rsidRPr="00DF74F6">
        <w:rPr>
          <w:rFonts w:ascii="Times New Roman" w:eastAsia="Times New Roman" w:hAnsi="Times New Roman" w:cs="Times New Roman"/>
          <w:sz w:val="36"/>
          <w:szCs w:val="36"/>
        </w:rPr>
        <w:t>Syllabus</w:t>
      </w:r>
    </w:p>
    <w:p w:rsidR="00DF74F6" w:rsidRPr="00DF74F6" w:rsidRDefault="00DF74F6" w:rsidP="00DF74F6">
      <w:pPr>
        <w:spacing w:after="0" w:line="240" w:lineRule="auto"/>
        <w:jc w:val="center"/>
        <w:rPr>
          <w:rFonts w:ascii="Times New Roman" w:eastAsia="Times New Roman" w:hAnsi="Times New Roman" w:cs="Times New Roman"/>
          <w:sz w:val="36"/>
          <w:szCs w:val="36"/>
        </w:rPr>
      </w:pPr>
    </w:p>
    <w:p w:rsidR="00DF74F6" w:rsidRPr="00DF74F6" w:rsidRDefault="00DF74F6" w:rsidP="00DF74F6">
      <w:pPr>
        <w:spacing w:after="0" w:line="240" w:lineRule="auto"/>
        <w:jc w:val="center"/>
        <w:rPr>
          <w:rFonts w:ascii="Times New Roman" w:eastAsia="Times New Roman" w:hAnsi="Times New Roman" w:cs="Times New Roman"/>
          <w:b/>
          <w:sz w:val="48"/>
          <w:szCs w:val="48"/>
        </w:rPr>
      </w:pPr>
      <w:r w:rsidRPr="00DF74F6">
        <w:rPr>
          <w:rFonts w:ascii="Times New Roman" w:eastAsia="Times New Roman" w:hAnsi="Times New Roman" w:cs="Times New Roman"/>
          <w:b/>
          <w:sz w:val="48"/>
          <w:szCs w:val="48"/>
        </w:rPr>
        <w:t xml:space="preserve">Financial </w:t>
      </w:r>
      <w:r>
        <w:rPr>
          <w:rFonts w:ascii="Times New Roman" w:eastAsia="Times New Roman" w:hAnsi="Times New Roman" w:cs="Times New Roman"/>
          <w:b/>
          <w:sz w:val="48"/>
          <w:szCs w:val="48"/>
        </w:rPr>
        <w:t>&amp; Managerial Accounting</w:t>
      </w:r>
    </w:p>
    <w:p w:rsidR="00DF74F6" w:rsidRPr="00DF74F6" w:rsidRDefault="00DF74F6" w:rsidP="00DF74F6">
      <w:pPr>
        <w:spacing w:after="0" w:line="240" w:lineRule="auto"/>
        <w:jc w:val="center"/>
        <w:rPr>
          <w:rFonts w:ascii="Times New Roman" w:eastAsia="Times New Roman" w:hAnsi="Times New Roman" w:cs="Times New Roman"/>
          <w:b/>
          <w:sz w:val="48"/>
          <w:szCs w:val="48"/>
        </w:rPr>
      </w:pPr>
      <w:r w:rsidRPr="00DF74F6">
        <w:rPr>
          <w:rFonts w:ascii="Times New Roman" w:eastAsia="Times New Roman" w:hAnsi="Times New Roman" w:cs="Times New Roman"/>
          <w:b/>
          <w:sz w:val="48"/>
          <w:szCs w:val="48"/>
        </w:rPr>
        <w:t>MGT 6</w:t>
      </w:r>
      <w:r>
        <w:rPr>
          <w:rFonts w:ascii="Times New Roman" w:eastAsia="Times New Roman" w:hAnsi="Times New Roman" w:cs="Times New Roman"/>
          <w:b/>
          <w:sz w:val="48"/>
          <w:szCs w:val="48"/>
        </w:rPr>
        <w:t>00</w:t>
      </w:r>
    </w:p>
    <w:p w:rsidR="00DF74F6" w:rsidRPr="00DF74F6" w:rsidRDefault="00DF74F6" w:rsidP="00DF74F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F74F6" w:rsidRPr="00DF74F6" w:rsidTr="00DF74F6">
        <w:tc>
          <w:tcPr>
            <w:tcW w:w="4428" w:type="dxa"/>
            <w:shd w:val="clear" w:color="auto" w:fill="auto"/>
          </w:tcPr>
          <w:p w:rsidR="00DF74F6" w:rsidRPr="00DF74F6" w:rsidRDefault="00DF74F6" w:rsidP="00DF74F6">
            <w:pPr>
              <w:spacing w:after="0" w:line="240" w:lineRule="auto"/>
              <w:rPr>
                <w:rFonts w:ascii="Times New Roman" w:eastAsia="Times New Roman" w:hAnsi="Times New Roman" w:cs="Times New Roman"/>
                <w:sz w:val="24"/>
                <w:szCs w:val="24"/>
              </w:rPr>
            </w:pPr>
            <w:r w:rsidRPr="00DF74F6">
              <w:rPr>
                <w:rFonts w:ascii="Times New Roman" w:eastAsia="Times New Roman" w:hAnsi="Times New Roman" w:cs="Times New Roman"/>
                <w:sz w:val="24"/>
                <w:szCs w:val="24"/>
                <w:u w:val="single"/>
              </w:rPr>
              <w:t>Semester:</w:t>
            </w:r>
            <w:r w:rsidRPr="00DF74F6">
              <w:rPr>
                <w:rFonts w:ascii="Times New Roman" w:eastAsia="Times New Roman" w:hAnsi="Times New Roman" w:cs="Times New Roman"/>
                <w:sz w:val="24"/>
                <w:szCs w:val="24"/>
              </w:rPr>
              <w:t xml:space="preserve"> </w:t>
            </w:r>
            <w:r w:rsidRPr="00DF74F6">
              <w:rPr>
                <w:rFonts w:ascii="Times New Roman" w:eastAsia="Times New Roman" w:hAnsi="Times New Roman" w:cs="Times New Roman"/>
                <w:b/>
                <w:sz w:val="24"/>
                <w:szCs w:val="24"/>
              </w:rPr>
              <w:t>2012</w:t>
            </w:r>
          </w:p>
        </w:tc>
        <w:tc>
          <w:tcPr>
            <w:tcW w:w="4428" w:type="dxa"/>
            <w:shd w:val="clear" w:color="auto" w:fill="auto"/>
          </w:tcPr>
          <w:p w:rsidR="00DF74F6" w:rsidRPr="00DF74F6" w:rsidRDefault="00DF74F6" w:rsidP="00DF74F6">
            <w:pPr>
              <w:spacing w:after="0" w:line="240" w:lineRule="auto"/>
              <w:rPr>
                <w:rFonts w:ascii="Times New Roman" w:eastAsia="Times New Roman" w:hAnsi="Times New Roman" w:cs="Times New Roman"/>
                <w:sz w:val="24"/>
                <w:szCs w:val="24"/>
                <w:u w:val="single"/>
              </w:rPr>
            </w:pPr>
            <w:r w:rsidRPr="00DF74F6">
              <w:rPr>
                <w:rFonts w:ascii="Times New Roman" w:eastAsia="Times New Roman" w:hAnsi="Times New Roman" w:cs="Times New Roman"/>
                <w:sz w:val="24"/>
                <w:szCs w:val="24"/>
                <w:u w:val="single"/>
              </w:rPr>
              <w:t xml:space="preserve">Day of Week/Time: </w:t>
            </w:r>
          </w:p>
          <w:p w:rsidR="00DF74F6" w:rsidRPr="00DF74F6" w:rsidRDefault="00DF74F6" w:rsidP="00DF74F6">
            <w:pPr>
              <w:spacing w:after="0" w:line="240" w:lineRule="auto"/>
              <w:rPr>
                <w:rFonts w:ascii="Times New Roman" w:eastAsia="Times New Roman" w:hAnsi="Times New Roman" w:cs="Times New Roman"/>
                <w:sz w:val="24"/>
                <w:szCs w:val="24"/>
              </w:rPr>
            </w:pPr>
          </w:p>
        </w:tc>
      </w:tr>
      <w:tr w:rsidR="00DF74F6" w:rsidRPr="00DF74F6" w:rsidTr="00DF74F6">
        <w:tc>
          <w:tcPr>
            <w:tcW w:w="4428" w:type="dxa"/>
            <w:shd w:val="clear" w:color="auto" w:fill="auto"/>
          </w:tcPr>
          <w:p w:rsidR="00DF74F6" w:rsidRPr="00DF74F6" w:rsidRDefault="00DF74F6" w:rsidP="00DF74F6">
            <w:pPr>
              <w:spacing w:after="0" w:line="240" w:lineRule="auto"/>
              <w:rPr>
                <w:rFonts w:ascii="Times New Roman" w:eastAsia="Times New Roman" w:hAnsi="Times New Roman" w:cs="Times New Roman"/>
                <w:sz w:val="24"/>
                <w:szCs w:val="24"/>
              </w:rPr>
            </w:pPr>
            <w:r w:rsidRPr="00DF74F6">
              <w:rPr>
                <w:rFonts w:ascii="Times New Roman" w:eastAsia="Times New Roman" w:hAnsi="Times New Roman" w:cs="Times New Roman"/>
                <w:sz w:val="24"/>
                <w:szCs w:val="24"/>
              </w:rPr>
              <w:t>Instructor Name &amp; Contact Information:</w:t>
            </w:r>
          </w:p>
          <w:p w:rsidR="00DF74F6" w:rsidRPr="00DF74F6" w:rsidRDefault="00DF74F6" w:rsidP="00DF74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William </w:t>
            </w:r>
            <w:proofErr w:type="spellStart"/>
            <w:r>
              <w:rPr>
                <w:rFonts w:ascii="Times New Roman" w:eastAsia="Times New Roman" w:hAnsi="Times New Roman" w:cs="Times New Roman"/>
                <w:b/>
                <w:sz w:val="24"/>
                <w:szCs w:val="24"/>
              </w:rPr>
              <w:t>Stahlin</w:t>
            </w:r>
            <w:proofErr w:type="spellEnd"/>
          </w:p>
          <w:p w:rsidR="00DF74F6" w:rsidRPr="00DF74F6" w:rsidRDefault="00DF74F6" w:rsidP="00DF74F6">
            <w:pPr>
              <w:spacing w:after="0" w:line="240" w:lineRule="auto"/>
              <w:rPr>
                <w:rFonts w:ascii="Times New Roman" w:eastAsia="Times New Roman" w:hAnsi="Times New Roman" w:cs="Times New Roman"/>
                <w:sz w:val="24"/>
                <w:szCs w:val="24"/>
              </w:rPr>
            </w:pPr>
            <w:proofErr w:type="spellStart"/>
            <w:r w:rsidRPr="00DF74F6">
              <w:rPr>
                <w:rFonts w:ascii="Times New Roman" w:eastAsia="Times New Roman" w:hAnsi="Times New Roman" w:cs="Times New Roman"/>
                <w:sz w:val="24"/>
                <w:szCs w:val="24"/>
              </w:rPr>
              <w:t>Babbio</w:t>
            </w:r>
            <w:proofErr w:type="spellEnd"/>
            <w:r w:rsidRPr="00DF74F6">
              <w:rPr>
                <w:rFonts w:ascii="Times New Roman" w:eastAsia="Times New Roman" w:hAnsi="Times New Roman" w:cs="Times New Roman"/>
                <w:sz w:val="24"/>
                <w:szCs w:val="24"/>
              </w:rPr>
              <w:t xml:space="preserve"> Center  4</w:t>
            </w:r>
            <w:r>
              <w:rPr>
                <w:rFonts w:ascii="Times New Roman" w:eastAsia="Times New Roman" w:hAnsi="Times New Roman" w:cs="Times New Roman"/>
                <w:sz w:val="24"/>
                <w:szCs w:val="24"/>
              </w:rPr>
              <w:t>08</w:t>
            </w:r>
          </w:p>
          <w:p w:rsidR="00DF74F6" w:rsidRPr="00DF74F6" w:rsidRDefault="00DF74F6" w:rsidP="00DF74F6">
            <w:pPr>
              <w:spacing w:after="0" w:line="240" w:lineRule="auto"/>
              <w:rPr>
                <w:rFonts w:ascii="Times New Roman" w:eastAsia="Times New Roman" w:hAnsi="Times New Roman" w:cs="Times New Roman"/>
                <w:sz w:val="24"/>
                <w:szCs w:val="24"/>
              </w:rPr>
            </w:pPr>
            <w:r w:rsidRPr="00DF74F6">
              <w:rPr>
                <w:rFonts w:ascii="Times New Roman" w:eastAsia="Times New Roman" w:hAnsi="Times New Roman" w:cs="Times New Roman"/>
                <w:sz w:val="24"/>
                <w:szCs w:val="24"/>
              </w:rPr>
              <w:t>201.216.5</w:t>
            </w:r>
            <w:r>
              <w:rPr>
                <w:rFonts w:ascii="Times New Roman" w:eastAsia="Times New Roman" w:hAnsi="Times New Roman" w:cs="Times New Roman"/>
                <w:sz w:val="24"/>
                <w:szCs w:val="24"/>
              </w:rPr>
              <w:t>385</w:t>
            </w:r>
          </w:p>
        </w:tc>
        <w:tc>
          <w:tcPr>
            <w:tcW w:w="4428" w:type="dxa"/>
            <w:shd w:val="clear" w:color="auto" w:fill="auto"/>
          </w:tcPr>
          <w:p w:rsidR="00DF74F6" w:rsidRPr="00DF74F6" w:rsidRDefault="00DF74F6" w:rsidP="00DF74F6">
            <w:pPr>
              <w:spacing w:after="0" w:line="240" w:lineRule="auto"/>
              <w:rPr>
                <w:rFonts w:ascii="Times New Roman" w:eastAsia="Times New Roman" w:hAnsi="Times New Roman" w:cs="Times New Roman"/>
                <w:sz w:val="24"/>
                <w:szCs w:val="24"/>
              </w:rPr>
            </w:pPr>
            <w:r w:rsidRPr="00DF74F6">
              <w:rPr>
                <w:rFonts w:ascii="Times New Roman" w:eastAsia="Times New Roman" w:hAnsi="Times New Roman" w:cs="Times New Roman"/>
                <w:sz w:val="24"/>
                <w:szCs w:val="24"/>
                <w:u w:val="single"/>
              </w:rPr>
              <w:t>Office Hours:</w:t>
            </w:r>
            <w:r w:rsidRPr="00DF74F6">
              <w:rPr>
                <w:rFonts w:ascii="Times New Roman" w:eastAsia="Times New Roman" w:hAnsi="Times New Roman" w:cs="Times New Roman"/>
                <w:sz w:val="24"/>
                <w:szCs w:val="24"/>
              </w:rPr>
              <w:t xml:space="preserve"> </w:t>
            </w:r>
          </w:p>
          <w:p w:rsidR="00DF74F6" w:rsidRPr="00DF74F6" w:rsidRDefault="00DF74F6" w:rsidP="00DF74F6">
            <w:pPr>
              <w:spacing w:after="0" w:line="240" w:lineRule="auto"/>
              <w:rPr>
                <w:rFonts w:ascii="Times New Roman" w:eastAsia="Times New Roman" w:hAnsi="Times New Roman" w:cs="Times New Roman"/>
                <w:b/>
                <w:sz w:val="24"/>
                <w:szCs w:val="24"/>
              </w:rPr>
            </w:pPr>
            <w:r w:rsidRPr="00DF74F6">
              <w:rPr>
                <w:rFonts w:ascii="Times New Roman" w:eastAsia="Times New Roman" w:hAnsi="Times New Roman" w:cs="Times New Roman"/>
                <w:b/>
                <w:sz w:val="24"/>
                <w:szCs w:val="24"/>
              </w:rPr>
              <w:t>Wednesday, 1:00pm – 5:00pm</w:t>
            </w:r>
          </w:p>
          <w:p w:rsidR="00DF74F6" w:rsidRPr="00DF74F6" w:rsidRDefault="00DF74F6" w:rsidP="00DF74F6">
            <w:pPr>
              <w:spacing w:after="0" w:line="240" w:lineRule="auto"/>
              <w:rPr>
                <w:rFonts w:ascii="Times New Roman" w:eastAsia="Times New Roman" w:hAnsi="Times New Roman" w:cs="Times New Roman"/>
                <w:sz w:val="24"/>
                <w:szCs w:val="24"/>
                <w:u w:val="single"/>
              </w:rPr>
            </w:pPr>
          </w:p>
          <w:p w:rsidR="00DF74F6" w:rsidRPr="00DF74F6" w:rsidRDefault="00DF74F6" w:rsidP="00DF74F6">
            <w:pPr>
              <w:spacing w:after="0" w:line="240" w:lineRule="auto"/>
              <w:rPr>
                <w:rFonts w:ascii="Times New Roman" w:eastAsia="Times New Roman" w:hAnsi="Times New Roman" w:cs="Times New Roman"/>
                <w:sz w:val="24"/>
                <w:szCs w:val="24"/>
                <w:u w:val="single"/>
              </w:rPr>
            </w:pPr>
            <w:r w:rsidRPr="00DF74F6">
              <w:rPr>
                <w:rFonts w:ascii="Times New Roman" w:eastAsia="Times New Roman" w:hAnsi="Times New Roman" w:cs="Times New Roman"/>
                <w:sz w:val="24"/>
                <w:szCs w:val="24"/>
                <w:u w:val="single"/>
              </w:rPr>
              <w:t>Class Website:</w:t>
            </w:r>
          </w:p>
          <w:p w:rsidR="00DF74F6" w:rsidRPr="00DF74F6" w:rsidRDefault="00DF74F6" w:rsidP="00DF74F6">
            <w:pPr>
              <w:spacing w:after="0" w:line="240" w:lineRule="auto"/>
              <w:rPr>
                <w:rFonts w:ascii="Times New Roman" w:eastAsia="Times New Roman" w:hAnsi="Times New Roman" w:cs="Times New Roman"/>
                <w:sz w:val="24"/>
                <w:szCs w:val="24"/>
              </w:rPr>
            </w:pPr>
          </w:p>
        </w:tc>
      </w:tr>
    </w:tbl>
    <w:p w:rsidR="00DF74F6" w:rsidRPr="00DF74F6" w:rsidRDefault="00DF74F6" w:rsidP="00DF74F6">
      <w:pPr>
        <w:spacing w:after="0" w:line="240" w:lineRule="auto"/>
        <w:rPr>
          <w:rFonts w:ascii="Times New Roman" w:eastAsia="Times New Roman" w:hAnsi="Times New Roman" w:cs="Times New Roman"/>
          <w:sz w:val="24"/>
          <w:szCs w:val="24"/>
        </w:rPr>
      </w:pPr>
    </w:p>
    <w:p w:rsidR="00DF74F6" w:rsidRPr="00DF74F6" w:rsidRDefault="00DF74F6" w:rsidP="00DF74F6">
      <w:pPr>
        <w:spacing w:after="0" w:line="240" w:lineRule="auto"/>
        <w:rPr>
          <w:rFonts w:ascii="Times New Roman" w:eastAsia="Times New Roman" w:hAnsi="Times New Roman" w:cs="Times New Roman"/>
          <w:b/>
          <w:bCs/>
          <w:sz w:val="28"/>
          <w:szCs w:val="28"/>
        </w:rPr>
      </w:pPr>
      <w:r w:rsidRPr="00DF74F6">
        <w:rPr>
          <w:rFonts w:ascii="Times New Roman" w:eastAsia="Times New Roman" w:hAnsi="Times New Roman" w:cs="Times New Roman"/>
          <w:b/>
          <w:bCs/>
          <w:sz w:val="28"/>
          <w:szCs w:val="28"/>
        </w:rPr>
        <w:t xml:space="preserve">Overview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DF74F6" w:rsidRPr="00DF74F6" w:rsidTr="00DF74F6">
        <w:trPr>
          <w:trHeight w:val="3374"/>
        </w:trPr>
        <w:tc>
          <w:tcPr>
            <w:tcW w:w="9468" w:type="dxa"/>
          </w:tcPr>
          <w:p w:rsidR="00DF74F6" w:rsidRPr="00DF74F6" w:rsidRDefault="00DF74F6" w:rsidP="00DF74F6">
            <w:pPr>
              <w:autoSpaceDE w:val="0"/>
              <w:autoSpaceDN w:val="0"/>
              <w:adjustRightInd w:val="0"/>
              <w:spacing w:after="0" w:line="240" w:lineRule="auto"/>
              <w:rPr>
                <w:rFonts w:ascii="Times New Roman" w:eastAsia="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9252"/>
            </w:tblGrid>
            <w:tr w:rsidR="00DF74F6" w:rsidRPr="00DF74F6" w:rsidTr="00DF74F6">
              <w:trPr>
                <w:trHeight w:val="1108"/>
              </w:trPr>
              <w:tc>
                <w:tcPr>
                  <w:tcW w:w="0" w:type="auto"/>
                </w:tcPr>
                <w:p w:rsidR="00DF74F6" w:rsidRPr="000B1164" w:rsidRDefault="00DF74F6" w:rsidP="000B1164">
                  <w:pPr>
                    <w:spacing w:after="0" w:line="240" w:lineRule="auto"/>
                    <w:rPr>
                      <w:rFonts w:ascii="Times New Roman" w:eastAsia="Times New Roman" w:hAnsi="Times New Roman" w:cs="Times New Roman"/>
                      <w:iCs/>
                      <w:sz w:val="24"/>
                      <w:szCs w:val="24"/>
                    </w:rPr>
                  </w:pPr>
                  <w:r w:rsidRPr="000B1164">
                    <w:rPr>
                      <w:rFonts w:ascii="Times New Roman" w:eastAsia="Times New Roman" w:hAnsi="Times New Roman" w:cs="Times New Roman"/>
                      <w:iCs/>
                      <w:sz w:val="24"/>
                      <w:szCs w:val="24"/>
                    </w:rPr>
                    <w:t>This course provides an introduction to financial and managerial accounting for individuals with a science and technology background.  The course deals with the principles of financial and managerial accounting with focus on the use of accounting data by individuals to enhance decision-making. Topics covered include the major financial statements. Reporting for assets, liabilities and equity accounts using generally accepted accounting principles will be also be explored. Also covered is the use of accounting data by individuals within a business in order to enhance managerial decision-making and control. Topics covered include cost allocation and cost accounting systems, cost decision analysis, cost volume profit analysis, and budgets.</w:t>
                  </w:r>
                </w:p>
                <w:p w:rsidR="00DF74F6" w:rsidRPr="00DF74F6" w:rsidRDefault="00DF74F6" w:rsidP="00DF74F6">
                  <w:pPr>
                    <w:autoSpaceDE w:val="0"/>
                    <w:autoSpaceDN w:val="0"/>
                    <w:adjustRightInd w:val="0"/>
                    <w:spacing w:after="0" w:line="240" w:lineRule="auto"/>
                    <w:rPr>
                      <w:rFonts w:ascii="Times-Roman" w:hAnsi="Times-Roman" w:cs="Times-Roman"/>
                      <w:color w:val="000000"/>
                      <w:sz w:val="24"/>
                      <w:szCs w:val="24"/>
                    </w:rPr>
                  </w:pPr>
                </w:p>
              </w:tc>
            </w:tr>
          </w:tbl>
          <w:p w:rsidR="00DF74F6" w:rsidRPr="00DF74F6" w:rsidRDefault="00DF74F6" w:rsidP="00DF74F6">
            <w:pPr>
              <w:spacing w:after="0" w:line="240" w:lineRule="auto"/>
              <w:rPr>
                <w:rFonts w:ascii="Times New Roman" w:eastAsia="Times New Roman" w:hAnsi="Times New Roman" w:cs="Times New Roman"/>
                <w:i/>
                <w:iCs/>
                <w:sz w:val="24"/>
                <w:szCs w:val="24"/>
              </w:rPr>
            </w:pPr>
          </w:p>
          <w:p w:rsidR="00DF74F6" w:rsidRPr="00DF74F6" w:rsidRDefault="00DF74F6" w:rsidP="00DF74F6">
            <w:pPr>
              <w:spacing w:after="0" w:line="240" w:lineRule="auto"/>
              <w:rPr>
                <w:rFonts w:ascii="Times New Roman" w:eastAsia="Times New Roman" w:hAnsi="Times New Roman" w:cs="Times New Roman"/>
                <w:i/>
                <w:iCs/>
                <w:sz w:val="24"/>
                <w:szCs w:val="24"/>
              </w:rPr>
            </w:pPr>
            <w:r w:rsidRPr="00DF74F6">
              <w:rPr>
                <w:rFonts w:ascii="Times New Roman" w:eastAsia="Times New Roman" w:hAnsi="Times New Roman" w:cs="Times New Roman"/>
                <w:i/>
                <w:iCs/>
                <w:sz w:val="24"/>
                <w:szCs w:val="24"/>
              </w:rPr>
              <w:t>Prerequisites: MGT 615.</w:t>
            </w:r>
          </w:p>
          <w:p w:rsidR="00DF74F6" w:rsidRPr="00DF74F6" w:rsidRDefault="00DF74F6" w:rsidP="00DF74F6">
            <w:pPr>
              <w:spacing w:after="0" w:line="240" w:lineRule="auto"/>
              <w:rPr>
                <w:rFonts w:ascii="Times New Roman" w:eastAsia="Times New Roman" w:hAnsi="Times New Roman" w:cs="Times New Roman"/>
                <w:i/>
                <w:iCs/>
                <w:sz w:val="24"/>
                <w:szCs w:val="24"/>
              </w:rPr>
            </w:pPr>
          </w:p>
        </w:tc>
      </w:tr>
    </w:tbl>
    <w:p w:rsidR="00DF74F6" w:rsidRDefault="00DF74F6" w:rsidP="002A125B">
      <w:pPr>
        <w:autoSpaceDE w:val="0"/>
        <w:autoSpaceDN w:val="0"/>
        <w:adjustRightInd w:val="0"/>
        <w:spacing w:after="0" w:line="240" w:lineRule="auto"/>
        <w:ind w:left="2160" w:firstLine="720"/>
        <w:rPr>
          <w:rFonts w:ascii="Times-Roman" w:hAnsi="Times-Roman" w:cs="Times-Roman"/>
          <w:b/>
          <w:color w:val="000000"/>
          <w:sz w:val="24"/>
          <w:szCs w:val="24"/>
        </w:rPr>
      </w:pPr>
    </w:p>
    <w:p w:rsidR="00922B05" w:rsidRDefault="00922B05" w:rsidP="00922B05">
      <w:pPr>
        <w:autoSpaceDE w:val="0"/>
        <w:autoSpaceDN w:val="0"/>
        <w:adjustRightInd w:val="0"/>
        <w:spacing w:after="0" w:line="240" w:lineRule="auto"/>
        <w:rPr>
          <w:rFonts w:ascii="Times-Roman" w:hAnsi="Times-Roman" w:cs="Times-Roman"/>
          <w:color w:val="000000"/>
          <w:sz w:val="24"/>
          <w:szCs w:val="24"/>
        </w:rPr>
      </w:pPr>
    </w:p>
    <w:p w:rsidR="005C25C2" w:rsidRPr="006770DD" w:rsidRDefault="005C25C2" w:rsidP="005C25C2">
      <w:pPr>
        <w:rPr>
          <w:rFonts w:ascii="Calibri" w:eastAsia="Calibri" w:hAnsi="Calibri" w:cs="Times New Roman"/>
          <w:i/>
          <w:iCs/>
        </w:rPr>
      </w:pPr>
    </w:p>
    <w:p w:rsidR="005C25C2" w:rsidRPr="000B1164" w:rsidRDefault="005C25C2" w:rsidP="000B1164">
      <w:pPr>
        <w:spacing w:after="0" w:line="240" w:lineRule="auto"/>
        <w:rPr>
          <w:rFonts w:ascii="Times New Roman" w:eastAsia="Times New Roman" w:hAnsi="Times New Roman" w:cs="Times New Roman"/>
          <w:b/>
          <w:bCs/>
          <w:sz w:val="28"/>
          <w:szCs w:val="28"/>
        </w:rPr>
      </w:pPr>
      <w:r w:rsidRPr="000B1164">
        <w:rPr>
          <w:rFonts w:ascii="Times New Roman" w:eastAsia="Times New Roman" w:hAnsi="Times New Roman" w:cs="Times New Roman"/>
          <w:b/>
          <w:bCs/>
          <w:sz w:val="28"/>
          <w:szCs w:val="28"/>
        </w:rPr>
        <w:t>Relationship of Course to Rest of Curriculum</w:t>
      </w:r>
    </w:p>
    <w:tbl>
      <w:tblPr>
        <w:tblStyle w:val="TableGrid"/>
        <w:tblW w:w="0" w:type="auto"/>
        <w:tblLook w:val="01E0" w:firstRow="1" w:lastRow="1" w:firstColumn="1" w:lastColumn="1" w:noHBand="0" w:noVBand="0"/>
      </w:tblPr>
      <w:tblGrid>
        <w:gridCol w:w="8856"/>
      </w:tblGrid>
      <w:tr w:rsidR="005C25C2" w:rsidRPr="006770DD">
        <w:tc>
          <w:tcPr>
            <w:tcW w:w="8856" w:type="dxa"/>
          </w:tcPr>
          <w:p w:rsidR="005C25C2" w:rsidRPr="000B1164" w:rsidRDefault="005C25C2" w:rsidP="00DF74F6">
            <w:pPr>
              <w:rPr>
                <w:iCs/>
                <w:sz w:val="24"/>
                <w:szCs w:val="24"/>
              </w:rPr>
            </w:pPr>
            <w:r w:rsidRPr="000B1164">
              <w:rPr>
                <w:iCs/>
                <w:sz w:val="24"/>
                <w:szCs w:val="24"/>
              </w:rPr>
              <w:t xml:space="preserve">This course will help you understand and appreciate the role accounting plays in making informed management decisions. Cost volume profit and product costing decisions affect marketing and pricing decisions.  </w:t>
            </w:r>
          </w:p>
          <w:p w:rsidR="005C25C2" w:rsidRPr="000B1164" w:rsidRDefault="005C25C2" w:rsidP="00DF74F6">
            <w:pPr>
              <w:rPr>
                <w:iCs/>
                <w:sz w:val="24"/>
                <w:szCs w:val="24"/>
              </w:rPr>
            </w:pPr>
          </w:p>
        </w:tc>
      </w:tr>
    </w:tbl>
    <w:p w:rsidR="005C25C2" w:rsidRPr="006770DD" w:rsidRDefault="005C25C2" w:rsidP="005C25C2">
      <w:pPr>
        <w:rPr>
          <w:rFonts w:ascii="Calibri" w:eastAsia="Calibri" w:hAnsi="Calibri" w:cs="Times New Roman"/>
          <w:b/>
          <w:bCs/>
        </w:rPr>
      </w:pPr>
    </w:p>
    <w:p w:rsidR="005C25C2" w:rsidRPr="000B1164" w:rsidRDefault="005C25C2" w:rsidP="005C25C2">
      <w:pPr>
        <w:rPr>
          <w:rFonts w:ascii="Times New Roman" w:eastAsia="Times New Roman" w:hAnsi="Times New Roman" w:cs="Times New Roman"/>
          <w:b/>
          <w:bCs/>
          <w:sz w:val="28"/>
          <w:szCs w:val="28"/>
        </w:rPr>
      </w:pPr>
      <w:r w:rsidRPr="000B1164">
        <w:rPr>
          <w:rFonts w:ascii="Times New Roman" w:eastAsia="Times New Roman" w:hAnsi="Times New Roman" w:cs="Times New Roman"/>
          <w:b/>
          <w:bCs/>
          <w:sz w:val="28"/>
          <w:szCs w:val="28"/>
        </w:rPr>
        <w:lastRenderedPageBreak/>
        <w:t>Learning Goals</w:t>
      </w:r>
    </w:p>
    <w:tbl>
      <w:tblPr>
        <w:tblStyle w:val="TableGrid"/>
        <w:tblW w:w="8856" w:type="dxa"/>
        <w:tblLook w:val="01E0" w:firstRow="1" w:lastRow="1" w:firstColumn="1" w:lastColumn="1" w:noHBand="0" w:noVBand="0"/>
      </w:tblPr>
      <w:tblGrid>
        <w:gridCol w:w="8856"/>
      </w:tblGrid>
      <w:tr w:rsidR="00586ED4" w:rsidRPr="006770DD">
        <w:tc>
          <w:tcPr>
            <w:tcW w:w="8856" w:type="dxa"/>
          </w:tcPr>
          <w:p w:rsidR="00586ED4" w:rsidRPr="000B1164" w:rsidRDefault="00586ED4" w:rsidP="00DF74F6">
            <w:pPr>
              <w:rPr>
                <w:iCs/>
                <w:sz w:val="24"/>
                <w:szCs w:val="24"/>
              </w:rPr>
            </w:pPr>
            <w:r w:rsidRPr="000B1164">
              <w:rPr>
                <w:iCs/>
                <w:sz w:val="24"/>
                <w:szCs w:val="24"/>
              </w:rPr>
              <w:t>After successfully completing this course, the student will be able to:</w:t>
            </w:r>
          </w:p>
          <w:p w:rsidR="00586ED4" w:rsidRPr="000B1164" w:rsidRDefault="00586ED4" w:rsidP="00D20D77">
            <w:pPr>
              <w:numPr>
                <w:ilvl w:val="0"/>
                <w:numId w:val="1"/>
              </w:numPr>
              <w:ind w:right="540"/>
              <w:rPr>
                <w:iCs/>
                <w:sz w:val="24"/>
                <w:szCs w:val="24"/>
              </w:rPr>
            </w:pPr>
            <w:r w:rsidRPr="000B1164">
              <w:rPr>
                <w:iCs/>
                <w:sz w:val="24"/>
                <w:szCs w:val="24"/>
              </w:rPr>
              <w:t>Identify the four key financial statements and their components and identify the linkages between the statements</w:t>
            </w:r>
          </w:p>
          <w:p w:rsidR="00586ED4" w:rsidRPr="000B1164" w:rsidRDefault="00586ED4" w:rsidP="00D20D77">
            <w:pPr>
              <w:numPr>
                <w:ilvl w:val="0"/>
                <w:numId w:val="1"/>
              </w:numPr>
              <w:ind w:right="540"/>
              <w:rPr>
                <w:iCs/>
                <w:sz w:val="24"/>
                <w:szCs w:val="24"/>
              </w:rPr>
            </w:pPr>
            <w:r w:rsidRPr="000B1164">
              <w:rPr>
                <w:iCs/>
                <w:sz w:val="24"/>
                <w:szCs w:val="24"/>
              </w:rPr>
              <w:t>Prepare and explain accounting adjustments and their financial statements effects</w:t>
            </w:r>
          </w:p>
          <w:p w:rsidR="00586ED4" w:rsidRPr="000B1164" w:rsidRDefault="00586ED4" w:rsidP="00D20D77">
            <w:pPr>
              <w:numPr>
                <w:ilvl w:val="0"/>
                <w:numId w:val="1"/>
              </w:numPr>
              <w:ind w:right="540"/>
              <w:rPr>
                <w:iCs/>
                <w:sz w:val="24"/>
                <w:szCs w:val="24"/>
              </w:rPr>
            </w:pPr>
            <w:r w:rsidRPr="000B1164">
              <w:rPr>
                <w:iCs/>
                <w:sz w:val="24"/>
                <w:szCs w:val="24"/>
              </w:rPr>
              <w:t>Describe the accounting for receivables, inventory and plant assets and their impacts on profits</w:t>
            </w:r>
          </w:p>
          <w:p w:rsidR="00586ED4" w:rsidRPr="000B1164" w:rsidRDefault="00586ED4" w:rsidP="005C25C2">
            <w:pPr>
              <w:numPr>
                <w:ilvl w:val="0"/>
                <w:numId w:val="1"/>
              </w:numPr>
              <w:rPr>
                <w:iCs/>
                <w:sz w:val="24"/>
                <w:szCs w:val="24"/>
              </w:rPr>
            </w:pPr>
            <w:r w:rsidRPr="000B1164">
              <w:rPr>
                <w:iCs/>
                <w:sz w:val="24"/>
                <w:szCs w:val="24"/>
              </w:rPr>
              <w:t>Describe the accounting for long term liabilities and contributed and earned capital</w:t>
            </w:r>
          </w:p>
          <w:p w:rsidR="00586ED4" w:rsidRPr="000B1164" w:rsidRDefault="00586ED4" w:rsidP="005C25C2">
            <w:pPr>
              <w:numPr>
                <w:ilvl w:val="0"/>
                <w:numId w:val="1"/>
              </w:numPr>
              <w:rPr>
                <w:iCs/>
                <w:sz w:val="24"/>
                <w:szCs w:val="24"/>
              </w:rPr>
            </w:pPr>
            <w:r w:rsidRPr="000B1164">
              <w:rPr>
                <w:iCs/>
                <w:sz w:val="24"/>
                <w:szCs w:val="24"/>
              </w:rPr>
              <w:t>Determine a product’s cost using overhead allocation</w:t>
            </w:r>
          </w:p>
          <w:p w:rsidR="00586ED4" w:rsidRPr="000B1164" w:rsidRDefault="00586ED4" w:rsidP="005C25C2">
            <w:pPr>
              <w:numPr>
                <w:ilvl w:val="0"/>
                <w:numId w:val="1"/>
              </w:numPr>
              <w:rPr>
                <w:iCs/>
                <w:sz w:val="24"/>
                <w:szCs w:val="24"/>
              </w:rPr>
            </w:pPr>
            <w:r w:rsidRPr="000B1164">
              <w:rPr>
                <w:iCs/>
                <w:sz w:val="24"/>
                <w:szCs w:val="24"/>
              </w:rPr>
              <w:t>Determine the sales volume to earn a desired level of operating income</w:t>
            </w:r>
          </w:p>
          <w:p w:rsidR="00586ED4" w:rsidRPr="000B1164" w:rsidRDefault="00586ED4" w:rsidP="005C25C2">
            <w:pPr>
              <w:numPr>
                <w:ilvl w:val="0"/>
                <w:numId w:val="1"/>
              </w:numPr>
              <w:rPr>
                <w:iCs/>
                <w:sz w:val="24"/>
                <w:szCs w:val="24"/>
              </w:rPr>
            </w:pPr>
            <w:r w:rsidRPr="000B1164">
              <w:rPr>
                <w:iCs/>
                <w:sz w:val="24"/>
                <w:szCs w:val="24"/>
              </w:rPr>
              <w:t>Use incremental analysis in making decisions such as special orders or outsourcing</w:t>
            </w:r>
          </w:p>
          <w:p w:rsidR="00586ED4" w:rsidRPr="000B1164" w:rsidRDefault="00586ED4" w:rsidP="005C25C2">
            <w:pPr>
              <w:numPr>
                <w:ilvl w:val="0"/>
                <w:numId w:val="1"/>
              </w:numPr>
              <w:rPr>
                <w:rFonts w:asciiTheme="minorHAnsi" w:eastAsiaTheme="minorHAnsi" w:hAnsiTheme="minorHAnsi" w:cstheme="minorBidi"/>
                <w:sz w:val="22"/>
                <w:szCs w:val="22"/>
              </w:rPr>
            </w:pPr>
            <w:r w:rsidRPr="000B1164">
              <w:rPr>
                <w:iCs/>
                <w:sz w:val="24"/>
                <w:szCs w:val="24"/>
              </w:rPr>
              <w:t>Prepare a master budget and supporting schedules</w:t>
            </w:r>
          </w:p>
        </w:tc>
      </w:tr>
    </w:tbl>
    <w:p w:rsidR="005C25C2" w:rsidRPr="000B1164" w:rsidRDefault="005C25C2" w:rsidP="005C25C2"/>
    <w:p w:rsidR="005C25C2" w:rsidRPr="000B1164" w:rsidRDefault="005C25C2" w:rsidP="005C25C2">
      <w:pPr>
        <w:rPr>
          <w:rFonts w:ascii="Times New Roman" w:eastAsia="Times New Roman" w:hAnsi="Times New Roman" w:cs="Times New Roman"/>
          <w:b/>
          <w:bCs/>
          <w:sz w:val="28"/>
          <w:szCs w:val="28"/>
        </w:rPr>
      </w:pPr>
      <w:r w:rsidRPr="000B1164">
        <w:rPr>
          <w:rFonts w:ascii="Times New Roman" w:eastAsia="Times New Roman" w:hAnsi="Times New Roman" w:cs="Times New Roman"/>
          <w:b/>
          <w:bCs/>
          <w:sz w:val="28"/>
          <w:szCs w:val="28"/>
        </w:rPr>
        <w:t>Pedagogy</w:t>
      </w:r>
    </w:p>
    <w:tbl>
      <w:tblPr>
        <w:tblStyle w:val="TableGrid"/>
        <w:tblW w:w="0" w:type="auto"/>
        <w:tblLook w:val="01E0" w:firstRow="1" w:lastRow="1" w:firstColumn="1" w:lastColumn="1" w:noHBand="0" w:noVBand="0"/>
      </w:tblPr>
      <w:tblGrid>
        <w:gridCol w:w="8856"/>
      </w:tblGrid>
      <w:tr w:rsidR="005C25C2" w:rsidRPr="000B1164">
        <w:tc>
          <w:tcPr>
            <w:tcW w:w="8856" w:type="dxa"/>
          </w:tcPr>
          <w:p w:rsidR="005C25C2" w:rsidRPr="000B1164" w:rsidRDefault="005C25C2" w:rsidP="000B1164">
            <w:pPr>
              <w:ind w:left="360" w:right="540"/>
              <w:rPr>
                <w:iCs/>
                <w:sz w:val="24"/>
                <w:szCs w:val="24"/>
              </w:rPr>
            </w:pPr>
            <w:r w:rsidRPr="000B1164">
              <w:rPr>
                <w:iCs/>
                <w:sz w:val="24"/>
                <w:szCs w:val="24"/>
              </w:rPr>
              <w:t xml:space="preserve">The course will employ </w:t>
            </w:r>
            <w:proofErr w:type="gramStart"/>
            <w:r w:rsidRPr="000B1164">
              <w:rPr>
                <w:iCs/>
                <w:sz w:val="24"/>
                <w:szCs w:val="24"/>
              </w:rPr>
              <w:t>lectures,</w:t>
            </w:r>
            <w:proofErr w:type="gramEnd"/>
            <w:r w:rsidRPr="000B1164">
              <w:rPr>
                <w:iCs/>
                <w:sz w:val="24"/>
                <w:szCs w:val="24"/>
              </w:rPr>
              <w:t xml:space="preserve"> class discussion, in-class individual assignments, and review of homework </w:t>
            </w:r>
            <w:r w:rsidR="000754F7" w:rsidRPr="006770DD">
              <w:t>Topics covered include cost allocation and</w:t>
            </w:r>
            <w:r w:rsidR="000754F7">
              <w:t xml:space="preserve"> cost accounting systems, cost </w:t>
            </w:r>
            <w:r w:rsidR="000754F7" w:rsidRPr="006770DD">
              <w:t xml:space="preserve">decision analysis, </w:t>
            </w:r>
            <w:r w:rsidR="000754F7">
              <w:t>cost volume profit analysis, and budgets</w:t>
            </w:r>
            <w:r w:rsidR="000754F7" w:rsidRPr="006770DD">
              <w:t xml:space="preserve">. </w:t>
            </w:r>
            <w:bookmarkStart w:id="0" w:name="_GoBack"/>
            <w:bookmarkEnd w:id="0"/>
            <w:r w:rsidRPr="000B1164">
              <w:rPr>
                <w:iCs/>
                <w:sz w:val="24"/>
                <w:szCs w:val="24"/>
              </w:rPr>
              <w:t>be two exams.</w:t>
            </w:r>
          </w:p>
        </w:tc>
      </w:tr>
    </w:tbl>
    <w:p w:rsidR="00DF74F6" w:rsidRPr="000B1164" w:rsidRDefault="00DF74F6" w:rsidP="00DF74F6">
      <w:pPr>
        <w:spacing w:after="0" w:line="240" w:lineRule="auto"/>
        <w:rPr>
          <w:rFonts w:ascii="Times New Roman" w:eastAsia="Times New Roman" w:hAnsi="Times New Roman" w:cs="Times New Roman"/>
          <w:iCs/>
          <w:sz w:val="24"/>
          <w:szCs w:val="24"/>
        </w:rPr>
      </w:pPr>
    </w:p>
    <w:p w:rsidR="00DF74F6" w:rsidRPr="00DF74F6" w:rsidRDefault="00DF74F6" w:rsidP="00DF74F6">
      <w:pPr>
        <w:spacing w:after="0" w:line="240" w:lineRule="auto"/>
        <w:rPr>
          <w:rFonts w:ascii="Times New Roman" w:eastAsia="Times New Roman" w:hAnsi="Times New Roman" w:cs="Times New Roman"/>
          <w:b/>
          <w:bCs/>
          <w:sz w:val="28"/>
          <w:szCs w:val="28"/>
        </w:rPr>
      </w:pPr>
      <w:r w:rsidRPr="00DF74F6">
        <w:rPr>
          <w:rFonts w:ascii="Times New Roman" w:eastAsia="Times New Roman" w:hAnsi="Times New Roman" w:cs="Times New Roman"/>
          <w:b/>
          <w:bCs/>
          <w:sz w:val="28"/>
          <w:szCs w:val="28"/>
        </w:rPr>
        <w:t>Required Text(s)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DF74F6" w:rsidRPr="00DF74F6" w:rsidTr="00DF74F6">
        <w:tc>
          <w:tcPr>
            <w:tcW w:w="9468" w:type="dxa"/>
          </w:tcPr>
          <w:p w:rsidR="00DF74F6" w:rsidRPr="00DF74F6" w:rsidRDefault="00DF74F6" w:rsidP="00DF74F6">
            <w:pPr>
              <w:spacing w:after="0" w:line="240" w:lineRule="auto"/>
              <w:rPr>
                <w:rFonts w:ascii="Times New Roman" w:eastAsia="Times New Roman" w:hAnsi="Times New Roman" w:cs="Times New Roman"/>
                <w:sz w:val="24"/>
                <w:szCs w:val="24"/>
              </w:rPr>
            </w:pPr>
          </w:p>
          <w:p w:rsidR="00DF74F6" w:rsidRDefault="00DF74F6" w:rsidP="00DF74F6">
            <w:pPr>
              <w:autoSpaceDE w:val="0"/>
              <w:autoSpaceDN w:val="0"/>
              <w:adjustRightInd w:val="0"/>
              <w:spacing w:after="0" w:line="240" w:lineRule="auto"/>
              <w:rPr>
                <w:rFonts w:ascii="Times-Roman" w:hAnsi="Times-Roman" w:cs="Times-Roman"/>
                <w:color w:val="000000"/>
                <w:sz w:val="24"/>
                <w:szCs w:val="24"/>
              </w:rPr>
            </w:pPr>
            <w:r w:rsidRPr="000B1164">
              <w:rPr>
                <w:rFonts w:ascii="Times-Roman" w:hAnsi="Times-Roman" w:cs="Times-Roman"/>
                <w:i/>
                <w:color w:val="000000"/>
                <w:sz w:val="24"/>
                <w:szCs w:val="24"/>
              </w:rPr>
              <w:t>Financial and Managerial Accounting for MBAs</w:t>
            </w:r>
            <w:r>
              <w:rPr>
                <w:rFonts w:ascii="Times-Roman" w:hAnsi="Times-Roman" w:cs="Times-Roman"/>
                <w:color w:val="000000"/>
                <w:sz w:val="24"/>
                <w:szCs w:val="24"/>
              </w:rPr>
              <w:t>, Second Edition, Easton, Halsey et al, Cambridge Publishing Company, 2010 (ISBN #978-1-934319-35-2)</w:t>
            </w:r>
          </w:p>
          <w:p w:rsidR="00DF74F6" w:rsidRPr="00DF74F6" w:rsidRDefault="00DF74F6" w:rsidP="00DF74F6">
            <w:pPr>
              <w:spacing w:after="0" w:line="240" w:lineRule="auto"/>
              <w:rPr>
                <w:rFonts w:ascii="Times New Roman" w:eastAsia="Times New Roman" w:hAnsi="Times New Roman" w:cs="Times New Roman"/>
                <w:sz w:val="24"/>
                <w:szCs w:val="24"/>
              </w:rPr>
            </w:pPr>
          </w:p>
        </w:tc>
      </w:tr>
    </w:tbl>
    <w:p w:rsidR="00DF74F6" w:rsidRPr="00DF74F6" w:rsidRDefault="00DF74F6" w:rsidP="00DF74F6">
      <w:pPr>
        <w:spacing w:after="0" w:line="240" w:lineRule="auto"/>
        <w:rPr>
          <w:rFonts w:ascii="Times New Roman" w:eastAsia="Times New Roman" w:hAnsi="Times New Roman" w:cs="Times New Roman"/>
          <w:sz w:val="24"/>
          <w:szCs w:val="24"/>
        </w:rPr>
      </w:pPr>
    </w:p>
    <w:p w:rsidR="00DF74F6" w:rsidRPr="00DF74F6" w:rsidRDefault="00DF74F6" w:rsidP="00DF74F6">
      <w:pPr>
        <w:spacing w:after="0" w:line="240" w:lineRule="auto"/>
        <w:rPr>
          <w:rFonts w:ascii="Times New Roman" w:eastAsia="Times New Roman" w:hAnsi="Times New Roman" w:cs="Times New Roman"/>
          <w:b/>
          <w:bCs/>
          <w:sz w:val="28"/>
          <w:szCs w:val="28"/>
        </w:rPr>
      </w:pPr>
      <w:r w:rsidRPr="00DF74F6">
        <w:rPr>
          <w:rFonts w:ascii="Times New Roman" w:eastAsia="Times New Roman" w:hAnsi="Times New Roman" w:cs="Times New Roman"/>
          <w:b/>
          <w:bCs/>
          <w:sz w:val="28"/>
          <w:szCs w:val="28"/>
        </w:rPr>
        <w:t xml:space="preserve">Additional </w:t>
      </w:r>
      <w:smartTag w:uri="urn:schemas-microsoft-com:office:smarttags" w:element="City">
        <w:smartTag w:uri="urn:schemas-microsoft-com:office:smarttags" w:element="place">
          <w:r w:rsidRPr="00DF74F6">
            <w:rPr>
              <w:rFonts w:ascii="Times New Roman" w:eastAsia="Times New Roman" w:hAnsi="Times New Roman" w:cs="Times New Roman"/>
              <w:b/>
              <w:bCs/>
              <w:sz w:val="28"/>
              <w:szCs w:val="28"/>
            </w:rPr>
            <w:t>Readings</w:t>
          </w:r>
        </w:smartTag>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DF74F6" w:rsidRPr="00DF74F6" w:rsidTr="00DF74F6">
        <w:tc>
          <w:tcPr>
            <w:tcW w:w="9468" w:type="dxa"/>
          </w:tcPr>
          <w:p w:rsidR="00DF74F6" w:rsidRPr="00DF74F6" w:rsidRDefault="00DF74F6" w:rsidP="00DF74F6">
            <w:pPr>
              <w:spacing w:after="0" w:line="240" w:lineRule="auto"/>
              <w:rPr>
                <w:rFonts w:ascii="Times New Roman" w:eastAsia="Times New Roman" w:hAnsi="Times New Roman" w:cs="Times New Roman"/>
                <w:sz w:val="24"/>
                <w:szCs w:val="24"/>
              </w:rPr>
            </w:pPr>
          </w:p>
          <w:p w:rsidR="00DF74F6" w:rsidRPr="00DF74F6" w:rsidRDefault="00DF74F6" w:rsidP="00DF74F6">
            <w:pPr>
              <w:spacing w:after="0" w:line="240" w:lineRule="auto"/>
              <w:rPr>
                <w:rFonts w:ascii="Times New Roman" w:eastAsia="Times New Roman" w:hAnsi="Times New Roman" w:cs="Times New Roman"/>
                <w:sz w:val="24"/>
                <w:szCs w:val="24"/>
              </w:rPr>
            </w:pPr>
            <w:r w:rsidRPr="00DF74F6">
              <w:rPr>
                <w:rFonts w:ascii="Times New Roman" w:eastAsia="Times New Roman" w:hAnsi="Times New Roman" w:cs="Times New Roman"/>
                <w:sz w:val="24"/>
                <w:szCs w:val="24"/>
              </w:rPr>
              <w:t>Study Guide for Brigham/</w:t>
            </w:r>
            <w:proofErr w:type="spellStart"/>
            <w:r w:rsidRPr="00DF74F6">
              <w:rPr>
                <w:rFonts w:ascii="Times New Roman" w:eastAsia="Times New Roman" w:hAnsi="Times New Roman" w:cs="Times New Roman"/>
                <w:sz w:val="24"/>
                <w:szCs w:val="24"/>
              </w:rPr>
              <w:t>Ehrhardt’s</w:t>
            </w:r>
            <w:proofErr w:type="spellEnd"/>
            <w:r w:rsidRPr="00DF74F6">
              <w:rPr>
                <w:rFonts w:ascii="Times New Roman" w:eastAsia="Times New Roman" w:hAnsi="Times New Roman" w:cs="Times New Roman"/>
                <w:sz w:val="24"/>
                <w:szCs w:val="24"/>
              </w:rPr>
              <w:t xml:space="preserve"> Financial Management: Theory &amp; Practice (Optional and usually not necessary)</w:t>
            </w:r>
          </w:p>
          <w:p w:rsidR="00DF74F6" w:rsidRPr="00DF74F6" w:rsidRDefault="00DF74F6" w:rsidP="00DF74F6">
            <w:pPr>
              <w:spacing w:after="0" w:line="240" w:lineRule="auto"/>
              <w:rPr>
                <w:rFonts w:ascii="Times New Roman" w:eastAsia="Times New Roman" w:hAnsi="Times New Roman" w:cs="Times New Roman"/>
                <w:b/>
                <w:bCs/>
                <w:sz w:val="24"/>
                <w:szCs w:val="24"/>
              </w:rPr>
            </w:pPr>
          </w:p>
        </w:tc>
      </w:tr>
    </w:tbl>
    <w:p w:rsidR="005C25C2" w:rsidRPr="006770DD" w:rsidRDefault="005C25C2" w:rsidP="005C25C2">
      <w:pPr>
        <w:rPr>
          <w:rFonts w:ascii="Calibri" w:eastAsia="Calibri" w:hAnsi="Calibri" w:cs="Times New Roman"/>
          <w:b/>
          <w:bCs/>
        </w:rPr>
      </w:pPr>
    </w:p>
    <w:tbl>
      <w:tblPr>
        <w:tblStyle w:val="TableGrid"/>
        <w:tblW w:w="0" w:type="auto"/>
        <w:tblLook w:val="01E0" w:firstRow="1" w:lastRow="1" w:firstColumn="1" w:lastColumn="1" w:noHBand="0" w:noVBand="0"/>
      </w:tblPr>
      <w:tblGrid>
        <w:gridCol w:w="5508"/>
        <w:gridCol w:w="1788"/>
      </w:tblGrid>
      <w:tr w:rsidR="005C25C2" w:rsidRPr="006770DD">
        <w:tc>
          <w:tcPr>
            <w:tcW w:w="5508" w:type="dxa"/>
          </w:tcPr>
          <w:p w:rsidR="005C25C2" w:rsidRPr="006770DD" w:rsidRDefault="005C25C2" w:rsidP="00DF74F6">
            <w:pPr>
              <w:jc w:val="center"/>
              <w:rPr>
                <w:b/>
                <w:bCs/>
              </w:rPr>
            </w:pPr>
            <w:r>
              <w:rPr>
                <w:b/>
                <w:bCs/>
              </w:rPr>
              <w:t xml:space="preserve"> </w:t>
            </w:r>
            <w:r w:rsidRPr="006770DD">
              <w:rPr>
                <w:b/>
                <w:bCs/>
              </w:rPr>
              <w:t>Assignment</w:t>
            </w:r>
          </w:p>
        </w:tc>
        <w:tc>
          <w:tcPr>
            <w:tcW w:w="1080" w:type="dxa"/>
          </w:tcPr>
          <w:p w:rsidR="005C25C2" w:rsidRPr="006770DD" w:rsidRDefault="005C25C2" w:rsidP="00DF74F6">
            <w:pPr>
              <w:rPr>
                <w:b/>
                <w:bCs/>
              </w:rPr>
            </w:pPr>
            <w:r w:rsidRPr="006770DD">
              <w:rPr>
                <w:b/>
                <w:bCs/>
              </w:rPr>
              <w:t xml:space="preserve">Grade </w:t>
            </w:r>
          </w:p>
          <w:p w:rsidR="005C25C2" w:rsidRPr="006770DD" w:rsidRDefault="005C25C2" w:rsidP="00DF74F6">
            <w:pPr>
              <w:rPr>
                <w:b/>
                <w:bCs/>
              </w:rPr>
            </w:pPr>
            <w:r w:rsidRPr="006770DD">
              <w:rPr>
                <w:b/>
                <w:bCs/>
              </w:rPr>
              <w:t>Percent</w:t>
            </w:r>
          </w:p>
        </w:tc>
      </w:tr>
      <w:tr w:rsidR="005C25C2" w:rsidRPr="006770DD">
        <w:tc>
          <w:tcPr>
            <w:tcW w:w="5508" w:type="dxa"/>
          </w:tcPr>
          <w:p w:rsidR="005C25C2" w:rsidRPr="000B1164" w:rsidRDefault="005C25C2" w:rsidP="000B1164">
            <w:pPr>
              <w:numPr>
                <w:ilvl w:val="0"/>
                <w:numId w:val="1"/>
              </w:numPr>
              <w:rPr>
                <w:rFonts w:asciiTheme="minorHAnsi" w:eastAsiaTheme="minorHAnsi" w:hAnsiTheme="minorHAnsi" w:cstheme="minorBidi"/>
                <w:sz w:val="22"/>
                <w:szCs w:val="22"/>
              </w:rPr>
            </w:pPr>
            <w:r w:rsidRPr="000B1164">
              <w:rPr>
                <w:rFonts w:asciiTheme="minorHAnsi" w:eastAsiaTheme="minorHAnsi" w:hAnsiTheme="minorHAnsi" w:cstheme="minorBidi"/>
                <w:sz w:val="22"/>
                <w:szCs w:val="22"/>
              </w:rPr>
              <w:t>Homework, in-class participation, assignments and attendance-</w:t>
            </w:r>
          </w:p>
        </w:tc>
        <w:tc>
          <w:tcPr>
            <w:tcW w:w="1080" w:type="dxa"/>
          </w:tcPr>
          <w:p w:rsidR="005C25C2" w:rsidRPr="000B1164" w:rsidRDefault="005C25C2" w:rsidP="000B1164">
            <w:pPr>
              <w:numPr>
                <w:ilvl w:val="0"/>
                <w:numId w:val="1"/>
              </w:numPr>
              <w:rPr>
                <w:rFonts w:asciiTheme="minorHAnsi" w:eastAsiaTheme="minorHAnsi" w:hAnsiTheme="minorHAnsi" w:cstheme="minorBidi"/>
                <w:sz w:val="22"/>
                <w:szCs w:val="22"/>
              </w:rPr>
            </w:pPr>
            <w:r w:rsidRPr="000B1164">
              <w:rPr>
                <w:rFonts w:asciiTheme="minorHAnsi" w:eastAsiaTheme="minorHAnsi" w:hAnsiTheme="minorHAnsi" w:cstheme="minorBidi"/>
                <w:sz w:val="22"/>
                <w:szCs w:val="22"/>
              </w:rPr>
              <w:t>15%;</w:t>
            </w:r>
          </w:p>
        </w:tc>
      </w:tr>
      <w:tr w:rsidR="005C25C2" w:rsidRPr="006770DD">
        <w:tc>
          <w:tcPr>
            <w:tcW w:w="5508" w:type="dxa"/>
          </w:tcPr>
          <w:p w:rsidR="005C25C2" w:rsidRPr="000B1164" w:rsidRDefault="005C25C2" w:rsidP="000B1164">
            <w:pPr>
              <w:numPr>
                <w:ilvl w:val="0"/>
                <w:numId w:val="1"/>
              </w:numPr>
              <w:rPr>
                <w:rFonts w:asciiTheme="minorHAnsi" w:eastAsiaTheme="minorHAnsi" w:hAnsiTheme="minorHAnsi" w:cstheme="minorBidi"/>
                <w:sz w:val="22"/>
                <w:szCs w:val="22"/>
              </w:rPr>
            </w:pPr>
            <w:r w:rsidRPr="000B1164">
              <w:rPr>
                <w:rFonts w:asciiTheme="minorHAnsi" w:eastAsiaTheme="minorHAnsi" w:hAnsiTheme="minorHAnsi" w:cstheme="minorBidi"/>
                <w:sz w:val="22"/>
                <w:szCs w:val="22"/>
              </w:rPr>
              <w:t>Exams (2) 85%</w:t>
            </w:r>
          </w:p>
        </w:tc>
        <w:tc>
          <w:tcPr>
            <w:tcW w:w="1080" w:type="dxa"/>
          </w:tcPr>
          <w:p w:rsidR="005C25C2" w:rsidRPr="000B1164" w:rsidRDefault="005C25C2" w:rsidP="000B1164">
            <w:pPr>
              <w:numPr>
                <w:ilvl w:val="0"/>
                <w:numId w:val="1"/>
              </w:numPr>
              <w:rPr>
                <w:rFonts w:asciiTheme="minorHAnsi" w:eastAsiaTheme="minorHAnsi" w:hAnsiTheme="minorHAnsi" w:cstheme="minorBidi"/>
                <w:sz w:val="22"/>
                <w:szCs w:val="22"/>
              </w:rPr>
            </w:pPr>
            <w:r w:rsidRPr="000B1164">
              <w:rPr>
                <w:rFonts w:asciiTheme="minorHAnsi" w:eastAsiaTheme="minorHAnsi" w:hAnsiTheme="minorHAnsi" w:cstheme="minorBidi"/>
                <w:sz w:val="22"/>
                <w:szCs w:val="22"/>
              </w:rPr>
              <w:t xml:space="preserve"> 85%</w:t>
            </w:r>
          </w:p>
        </w:tc>
      </w:tr>
      <w:tr w:rsidR="005C25C2" w:rsidRPr="006770DD">
        <w:tc>
          <w:tcPr>
            <w:tcW w:w="5508" w:type="dxa"/>
          </w:tcPr>
          <w:p w:rsidR="005C25C2" w:rsidRPr="000B1164" w:rsidRDefault="005C25C2" w:rsidP="000B1164">
            <w:pPr>
              <w:numPr>
                <w:ilvl w:val="0"/>
                <w:numId w:val="1"/>
              </w:numPr>
              <w:rPr>
                <w:rFonts w:asciiTheme="minorHAnsi" w:eastAsiaTheme="minorHAnsi" w:hAnsiTheme="minorHAnsi" w:cstheme="minorBidi"/>
                <w:sz w:val="22"/>
                <w:szCs w:val="22"/>
              </w:rPr>
            </w:pPr>
            <w:r w:rsidRPr="000B1164">
              <w:rPr>
                <w:rFonts w:asciiTheme="minorHAnsi" w:eastAsiaTheme="minorHAnsi" w:hAnsiTheme="minorHAnsi" w:cstheme="minorBidi"/>
                <w:sz w:val="22"/>
                <w:szCs w:val="22"/>
              </w:rPr>
              <w:t>Total Grade</w:t>
            </w:r>
          </w:p>
        </w:tc>
        <w:tc>
          <w:tcPr>
            <w:tcW w:w="1080" w:type="dxa"/>
          </w:tcPr>
          <w:p w:rsidR="005C25C2" w:rsidRPr="000B1164" w:rsidRDefault="005C25C2" w:rsidP="000B1164">
            <w:pPr>
              <w:numPr>
                <w:ilvl w:val="0"/>
                <w:numId w:val="1"/>
              </w:numPr>
              <w:rPr>
                <w:rFonts w:asciiTheme="minorHAnsi" w:eastAsiaTheme="minorHAnsi" w:hAnsiTheme="minorHAnsi" w:cstheme="minorBidi"/>
                <w:sz w:val="22"/>
                <w:szCs w:val="22"/>
              </w:rPr>
            </w:pPr>
            <w:r w:rsidRPr="000B1164">
              <w:rPr>
                <w:rFonts w:asciiTheme="minorHAnsi" w:eastAsiaTheme="minorHAnsi" w:hAnsiTheme="minorHAnsi" w:cstheme="minorBidi"/>
                <w:sz w:val="22"/>
                <w:szCs w:val="22"/>
              </w:rPr>
              <w:t>100%</w:t>
            </w:r>
          </w:p>
        </w:tc>
      </w:tr>
    </w:tbl>
    <w:p w:rsidR="005C25C2" w:rsidRPr="00C36815" w:rsidRDefault="005C25C2" w:rsidP="005C25C2">
      <w:pPr>
        <w:rPr>
          <w:rFonts w:ascii="Calibri" w:eastAsia="Calibri" w:hAnsi="Calibri" w:cs="Times New Roman"/>
        </w:rPr>
      </w:pPr>
    </w:p>
    <w:p w:rsidR="000B1164" w:rsidRDefault="000B1164" w:rsidP="000B1164">
      <w:pPr>
        <w:spacing w:after="0" w:line="240" w:lineRule="auto"/>
        <w:rPr>
          <w:rFonts w:ascii="Times New Roman" w:eastAsia="Times New Roman" w:hAnsi="Times New Roman" w:cs="Times New Roman"/>
          <w:b/>
          <w:bCs/>
          <w:sz w:val="28"/>
          <w:szCs w:val="28"/>
        </w:rPr>
      </w:pPr>
    </w:p>
    <w:p w:rsidR="000B1164" w:rsidRDefault="000B1164" w:rsidP="000B1164">
      <w:pPr>
        <w:spacing w:after="0" w:line="240" w:lineRule="auto"/>
        <w:rPr>
          <w:rFonts w:ascii="Times New Roman" w:eastAsia="Times New Roman" w:hAnsi="Times New Roman" w:cs="Times New Roman"/>
          <w:b/>
          <w:bCs/>
          <w:sz w:val="28"/>
          <w:szCs w:val="28"/>
        </w:rPr>
      </w:pPr>
    </w:p>
    <w:p w:rsidR="000B1164" w:rsidRDefault="000B1164" w:rsidP="000B1164">
      <w:pPr>
        <w:spacing w:after="0" w:line="240" w:lineRule="auto"/>
        <w:rPr>
          <w:rFonts w:ascii="Times New Roman" w:eastAsia="Times New Roman" w:hAnsi="Times New Roman" w:cs="Times New Roman"/>
          <w:b/>
          <w:bCs/>
          <w:sz w:val="28"/>
          <w:szCs w:val="28"/>
        </w:rPr>
      </w:pPr>
    </w:p>
    <w:p w:rsidR="000B1164" w:rsidRDefault="000B1164" w:rsidP="000B1164">
      <w:pPr>
        <w:spacing w:after="0" w:line="240" w:lineRule="auto"/>
        <w:rPr>
          <w:rFonts w:ascii="Times New Roman" w:eastAsia="Times New Roman" w:hAnsi="Times New Roman" w:cs="Times New Roman"/>
          <w:b/>
          <w:bCs/>
          <w:sz w:val="28"/>
          <w:szCs w:val="28"/>
        </w:rPr>
      </w:pPr>
    </w:p>
    <w:p w:rsidR="005C25C2" w:rsidRPr="000B1164" w:rsidRDefault="005C25C2" w:rsidP="000B1164">
      <w:pPr>
        <w:spacing w:after="0" w:line="240" w:lineRule="auto"/>
        <w:rPr>
          <w:rFonts w:ascii="Times New Roman" w:eastAsia="Times New Roman" w:hAnsi="Times New Roman" w:cs="Times New Roman"/>
          <w:b/>
          <w:bCs/>
          <w:sz w:val="28"/>
          <w:szCs w:val="28"/>
        </w:rPr>
      </w:pPr>
      <w:r w:rsidRPr="000B1164">
        <w:rPr>
          <w:rFonts w:ascii="Times New Roman" w:eastAsia="Times New Roman" w:hAnsi="Times New Roman" w:cs="Times New Roman"/>
          <w:b/>
          <w:bCs/>
          <w:sz w:val="28"/>
          <w:szCs w:val="28"/>
        </w:rPr>
        <w:t>Ethical Conduct</w:t>
      </w:r>
    </w:p>
    <w:p w:rsidR="005C25C2" w:rsidRDefault="005C25C2" w:rsidP="005C25C2">
      <w:pPr>
        <w:rPr>
          <w:rFonts w:ascii="Calibri" w:eastAsia="Calibri" w:hAnsi="Calibri" w:cs="Times New Roman"/>
        </w:rPr>
      </w:pPr>
    </w:p>
    <w:tbl>
      <w:tblPr>
        <w:tblStyle w:val="TableGrid"/>
        <w:tblW w:w="0" w:type="auto"/>
        <w:tblLook w:val="01E0" w:firstRow="1" w:lastRow="1" w:firstColumn="1" w:lastColumn="1" w:noHBand="0" w:noVBand="0"/>
      </w:tblPr>
      <w:tblGrid>
        <w:gridCol w:w="8856"/>
      </w:tblGrid>
      <w:tr w:rsidR="005C25C2">
        <w:tc>
          <w:tcPr>
            <w:tcW w:w="8856" w:type="dxa"/>
          </w:tcPr>
          <w:p w:rsidR="005C25C2" w:rsidRDefault="005C25C2" w:rsidP="00DF74F6">
            <w:r>
              <w:t>The following statement is printed in the Stevens Graduate Catalog and applies to all students taking Stevens courses, on and off campus.</w:t>
            </w:r>
          </w:p>
          <w:p w:rsidR="005C25C2" w:rsidRDefault="005C25C2" w:rsidP="00DF74F6"/>
          <w:p w:rsidR="005C25C2" w:rsidRDefault="005C25C2" w:rsidP="00DF74F6">
            <w:pPr>
              <w:pStyle w:val="BodyTextIndent"/>
              <w:tabs>
                <w:tab w:val="clear" w:pos="1800"/>
                <w:tab w:val="left" w:pos="0"/>
              </w:tabs>
              <w:ind w:left="0" w:firstLine="0"/>
            </w:pPr>
            <w:r>
              <w:t>“Cheating during in-class tests or take-home examinations or homework is, of course, illegal and immoral.  A Graduate Academic Evaluation Board exists to investigate academic improprieties, conduct hearings, and determine any necessary actions.  The term ‘academic impropriety’ is meant to include, but is not limited to, cheating on homework, during in-class or take home examinations and plagiarism.“</w:t>
            </w:r>
          </w:p>
          <w:p w:rsidR="005C25C2" w:rsidRDefault="005C25C2" w:rsidP="00DF74F6">
            <w:pPr>
              <w:pStyle w:val="BodyTextIndent"/>
              <w:ind w:left="0"/>
            </w:pPr>
          </w:p>
          <w:p w:rsidR="005C25C2" w:rsidRDefault="005C25C2" w:rsidP="00DF74F6">
            <w:pPr>
              <w:pStyle w:val="BodyTextIndent"/>
              <w:ind w:left="0" w:firstLine="0"/>
            </w:pPr>
            <w:r>
              <w:t>Consequences of academic impropriety are severe, ranging from receiving an “F” in a course, to a warning from the Dean of the Graduate School, which becomes a part of the permanent student record, to expulsion.</w:t>
            </w:r>
          </w:p>
          <w:p w:rsidR="005C25C2" w:rsidRDefault="005C25C2" w:rsidP="00DF74F6">
            <w:pPr>
              <w:pStyle w:val="BodyTextIndent"/>
              <w:ind w:left="0" w:firstLine="0"/>
            </w:pPr>
          </w:p>
          <w:p w:rsidR="005C25C2" w:rsidRDefault="005C25C2" w:rsidP="00DF74F6">
            <w:pPr>
              <w:rPr>
                <w:i/>
              </w:rPr>
            </w:pPr>
            <w:r>
              <w:rPr>
                <w:i/>
              </w:rPr>
              <w:t xml:space="preserve">Reference:  </w:t>
            </w:r>
            <w:r>
              <w:rPr>
                <w:i/>
              </w:rPr>
              <w:tab/>
              <w:t>The Graduate Student Handbook, Academic Year 2003-2004 Stevens</w:t>
            </w:r>
          </w:p>
          <w:p w:rsidR="005C25C2" w:rsidRDefault="005C25C2" w:rsidP="00DF74F6">
            <w:pPr>
              <w:ind w:left="720" w:firstLine="720"/>
              <w:rPr>
                <w:i/>
              </w:rPr>
            </w:pPr>
            <w:r>
              <w:rPr>
                <w:i/>
              </w:rPr>
              <w:t>Institute of Technology, page 10.</w:t>
            </w:r>
          </w:p>
          <w:p w:rsidR="005C25C2" w:rsidRDefault="005C25C2" w:rsidP="00DF74F6">
            <w:pPr>
              <w:pStyle w:val="NormalWeb"/>
              <w:rPr>
                <w:rFonts w:ascii="Times New Roman" w:hAnsi="Times New Roman" w:cs="Times New Roman"/>
              </w:rPr>
            </w:pPr>
            <w:r>
              <w:rPr>
                <w:rFonts w:ascii="Times New Roman" w:hAnsi="Times New Roman" w:cs="Times New Roman"/>
              </w:rPr>
              <w:t xml:space="preserve">Consistent with the above statements, all homework exercises, tests and exams that are designated as individual assignments MUST contain the following signed statement before they can be accepted for grading. ____________________________________________________________________ </w:t>
            </w:r>
          </w:p>
          <w:p w:rsidR="005C25C2" w:rsidRDefault="005C25C2" w:rsidP="00DF74F6">
            <w:pPr>
              <w:pStyle w:val="NormalWeb"/>
              <w:rPr>
                <w:rFonts w:ascii="Times New Roman" w:hAnsi="Times New Roman" w:cs="Times New Roman"/>
              </w:rPr>
            </w:pPr>
            <w:r>
              <w:rPr>
                <w:rFonts w:ascii="Times New Roman" w:hAnsi="Times New Roman" w:cs="Times New Roman"/>
              </w:rPr>
              <w:t>I pledge on my honor that I have not given or received any unauthorized assistance on this assignment/examination. I further pledge that I have not copied any material from a book, article, the Internet or any other source except where I have expressly cited the source.</w:t>
            </w:r>
          </w:p>
          <w:p w:rsidR="005C25C2" w:rsidRPr="00823F80" w:rsidRDefault="005C25C2" w:rsidP="00823F80">
            <w:pPr>
              <w:pStyle w:val="NormalWeb"/>
              <w:rPr>
                <w:rFonts w:ascii="Times New Roman" w:hAnsi="Times New Roman" w:cs="Times New Roman"/>
              </w:rPr>
            </w:pPr>
            <w:r>
              <w:rPr>
                <w:rFonts w:ascii="Times New Roman" w:hAnsi="Times New Roman" w:cs="Times New Roman"/>
              </w:rPr>
              <w:t>Signature 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 _____________</w:t>
            </w:r>
          </w:p>
        </w:tc>
      </w:tr>
    </w:tbl>
    <w:p w:rsidR="00436DF8" w:rsidRDefault="00436DF8" w:rsidP="00A3301F">
      <w:pPr>
        <w:spacing w:after="100" w:afterAutospacing="1"/>
        <w:jc w:val="center"/>
        <w:rPr>
          <w:b/>
          <w:sz w:val="36"/>
          <w:szCs w:val="36"/>
        </w:rPr>
      </w:pPr>
    </w:p>
    <w:p w:rsidR="000B1164" w:rsidRDefault="000B1164" w:rsidP="00A3301F">
      <w:pPr>
        <w:spacing w:after="100" w:afterAutospacing="1"/>
        <w:jc w:val="center"/>
        <w:rPr>
          <w:b/>
          <w:sz w:val="36"/>
          <w:szCs w:val="36"/>
        </w:rPr>
      </w:pPr>
    </w:p>
    <w:p w:rsidR="000B1164" w:rsidRDefault="000B1164" w:rsidP="00A3301F">
      <w:pPr>
        <w:spacing w:after="100" w:afterAutospacing="1"/>
        <w:jc w:val="center"/>
        <w:rPr>
          <w:b/>
          <w:sz w:val="36"/>
          <w:szCs w:val="36"/>
        </w:rPr>
      </w:pPr>
    </w:p>
    <w:p w:rsidR="000B1164" w:rsidRDefault="000B1164" w:rsidP="00A3301F">
      <w:pPr>
        <w:spacing w:after="100" w:afterAutospacing="1"/>
        <w:jc w:val="center"/>
        <w:rPr>
          <w:b/>
          <w:sz w:val="36"/>
          <w:szCs w:val="36"/>
        </w:rPr>
      </w:pPr>
    </w:p>
    <w:p w:rsidR="000B1164" w:rsidRDefault="000B1164" w:rsidP="00A3301F">
      <w:pPr>
        <w:spacing w:after="100" w:afterAutospacing="1"/>
        <w:jc w:val="center"/>
        <w:rPr>
          <w:b/>
          <w:sz w:val="36"/>
          <w:szCs w:val="36"/>
        </w:rPr>
      </w:pPr>
    </w:p>
    <w:p w:rsidR="000B1164" w:rsidRDefault="000B1164" w:rsidP="00A3301F">
      <w:pPr>
        <w:spacing w:after="100" w:afterAutospacing="1"/>
        <w:jc w:val="center"/>
        <w:rPr>
          <w:b/>
          <w:sz w:val="36"/>
          <w:szCs w:val="36"/>
        </w:rPr>
      </w:pPr>
    </w:p>
    <w:p w:rsidR="00561005" w:rsidRDefault="000B1164" w:rsidP="00A3301F">
      <w:pPr>
        <w:spacing w:after="100" w:afterAutospacing="1"/>
        <w:jc w:val="center"/>
        <w:rPr>
          <w:b/>
          <w:sz w:val="36"/>
          <w:szCs w:val="36"/>
        </w:rPr>
      </w:pPr>
      <w:r>
        <w:rPr>
          <w:b/>
          <w:sz w:val="36"/>
          <w:szCs w:val="36"/>
        </w:rPr>
        <w:t>MGT 600 Course Schedule</w:t>
      </w:r>
    </w:p>
    <w:tbl>
      <w:tblPr>
        <w:tblW w:w="9645" w:type="dxa"/>
        <w:tblCellMar>
          <w:left w:w="0" w:type="dxa"/>
          <w:right w:w="0" w:type="dxa"/>
        </w:tblCellMar>
        <w:tblLook w:val="04A0" w:firstRow="1" w:lastRow="0" w:firstColumn="1" w:lastColumn="0" w:noHBand="0" w:noVBand="1"/>
      </w:tblPr>
      <w:tblGrid>
        <w:gridCol w:w="745"/>
        <w:gridCol w:w="4600"/>
        <w:gridCol w:w="4300"/>
      </w:tblGrid>
      <w:tr w:rsidR="00A3301F">
        <w:trPr>
          <w:trHeight w:val="288"/>
        </w:trPr>
        <w:tc>
          <w:tcPr>
            <w:tcW w:w="745" w:type="dxa"/>
            <w:tcBorders>
              <w:top w:val="nil"/>
              <w:left w:val="nil"/>
              <w:bottom w:val="nil"/>
              <w:right w:val="nil"/>
            </w:tcBorders>
            <w:shd w:val="clear" w:color="auto" w:fill="auto"/>
            <w:noWrap/>
            <w:tcMar>
              <w:top w:w="15" w:type="dxa"/>
              <w:left w:w="9" w:type="dxa"/>
              <w:bottom w:w="0" w:type="dxa"/>
              <w:right w:w="9" w:type="dxa"/>
            </w:tcMar>
            <w:vAlign w:val="bottom"/>
          </w:tcPr>
          <w:p w:rsidR="00A3301F" w:rsidRPr="001750C5" w:rsidRDefault="00A3301F">
            <w:pPr>
              <w:jc w:val="center"/>
              <w:rPr>
                <w:rFonts w:ascii="Calibri" w:hAnsi="Calibri" w:cs="Calibri"/>
                <w:b/>
                <w:bCs/>
                <w:color w:val="000000"/>
                <w:u w:val="single"/>
              </w:rPr>
            </w:pPr>
            <w:r w:rsidRPr="001750C5">
              <w:rPr>
                <w:rFonts w:ascii="Calibri" w:hAnsi="Calibri" w:cs="Calibri"/>
                <w:b/>
                <w:bCs/>
                <w:color w:val="000000"/>
                <w:u w:val="single"/>
              </w:rPr>
              <w:t>Chapter</w:t>
            </w:r>
          </w:p>
        </w:tc>
        <w:tc>
          <w:tcPr>
            <w:tcW w:w="4600" w:type="dxa"/>
            <w:tcBorders>
              <w:top w:val="nil"/>
              <w:left w:val="nil"/>
              <w:bottom w:val="nil"/>
              <w:right w:val="nil"/>
            </w:tcBorders>
            <w:shd w:val="clear" w:color="auto" w:fill="auto"/>
            <w:noWrap/>
            <w:tcMar>
              <w:top w:w="15" w:type="dxa"/>
              <w:left w:w="9" w:type="dxa"/>
              <w:bottom w:w="0" w:type="dxa"/>
              <w:right w:w="9" w:type="dxa"/>
            </w:tcMar>
            <w:vAlign w:val="bottom"/>
          </w:tcPr>
          <w:p w:rsidR="00A3301F" w:rsidRPr="001750C5" w:rsidRDefault="00A3301F">
            <w:pPr>
              <w:jc w:val="center"/>
              <w:rPr>
                <w:rFonts w:ascii="Calibri" w:hAnsi="Calibri" w:cs="Calibri"/>
                <w:b/>
                <w:bCs/>
                <w:color w:val="000000"/>
                <w:u w:val="single"/>
              </w:rPr>
            </w:pPr>
            <w:r w:rsidRPr="001750C5">
              <w:rPr>
                <w:rFonts w:ascii="Calibri" w:hAnsi="Calibri" w:cs="Calibri"/>
                <w:b/>
                <w:bCs/>
                <w:color w:val="000000"/>
                <w:u w:val="single"/>
              </w:rPr>
              <w:t>Title</w:t>
            </w:r>
          </w:p>
        </w:tc>
        <w:tc>
          <w:tcPr>
            <w:tcW w:w="4300" w:type="dxa"/>
            <w:tcBorders>
              <w:top w:val="nil"/>
              <w:left w:val="nil"/>
              <w:bottom w:val="nil"/>
              <w:right w:val="nil"/>
            </w:tcBorders>
            <w:shd w:val="clear" w:color="auto" w:fill="auto"/>
            <w:noWrap/>
            <w:tcMar>
              <w:top w:w="15" w:type="dxa"/>
              <w:left w:w="9" w:type="dxa"/>
              <w:bottom w:w="0" w:type="dxa"/>
              <w:right w:w="9" w:type="dxa"/>
            </w:tcMar>
            <w:vAlign w:val="bottom"/>
          </w:tcPr>
          <w:p w:rsidR="00A3301F" w:rsidRDefault="00A3301F">
            <w:pPr>
              <w:jc w:val="center"/>
              <w:rPr>
                <w:rFonts w:ascii="Calibri" w:hAnsi="Calibri" w:cs="Calibri"/>
                <w:b/>
                <w:bCs/>
                <w:color w:val="000000"/>
                <w:u w:val="single"/>
              </w:rPr>
            </w:pPr>
            <w:r>
              <w:rPr>
                <w:rFonts w:ascii="Calibri" w:hAnsi="Calibri" w:cs="Calibri"/>
                <w:b/>
                <w:bCs/>
                <w:color w:val="000000"/>
                <w:u w:val="single"/>
              </w:rPr>
              <w:t>Assigned Exercises and Problems</w:t>
            </w:r>
          </w:p>
        </w:tc>
      </w:tr>
      <w:tr w:rsidR="009F1C9A">
        <w:trPr>
          <w:trHeight w:val="552"/>
        </w:trPr>
        <w:tc>
          <w:tcPr>
            <w:tcW w:w="745" w:type="dxa"/>
            <w:tcBorders>
              <w:top w:val="nil"/>
              <w:left w:val="nil"/>
              <w:bottom w:val="nil"/>
              <w:right w:val="nil"/>
            </w:tcBorders>
            <w:shd w:val="clear" w:color="auto" w:fill="auto"/>
            <w:tcMar>
              <w:top w:w="9" w:type="dxa"/>
              <w:left w:w="9" w:type="dxa"/>
              <w:bottom w:w="0" w:type="dxa"/>
              <w:right w:w="9" w:type="dxa"/>
            </w:tcMar>
          </w:tcPr>
          <w:p w:rsidR="009F1C9A" w:rsidRPr="001750C5" w:rsidRDefault="009F1C9A" w:rsidP="00436DF8">
            <w:pPr>
              <w:jc w:val="center"/>
              <w:rPr>
                <w:rFonts w:ascii="Verdana" w:hAnsi="Verdana" w:cs="Calibri"/>
                <w:color w:val="000000"/>
              </w:rPr>
            </w:pPr>
            <w:r w:rsidRPr="001750C5">
              <w:rPr>
                <w:rFonts w:ascii="Verdana" w:hAnsi="Verdana" w:cs="Calibri"/>
                <w:color w:val="000000"/>
              </w:rPr>
              <w:t>2</w:t>
            </w:r>
          </w:p>
        </w:tc>
        <w:tc>
          <w:tcPr>
            <w:tcW w:w="4600" w:type="dxa"/>
            <w:tcBorders>
              <w:top w:val="nil"/>
              <w:left w:val="nil"/>
              <w:bottom w:val="nil"/>
              <w:right w:val="nil"/>
            </w:tcBorders>
            <w:shd w:val="clear" w:color="auto" w:fill="auto"/>
            <w:tcMar>
              <w:top w:w="9" w:type="dxa"/>
              <w:left w:w="9" w:type="dxa"/>
              <w:bottom w:w="0" w:type="dxa"/>
              <w:right w:w="9" w:type="dxa"/>
            </w:tcMar>
          </w:tcPr>
          <w:p w:rsidR="009F1C9A" w:rsidRPr="001750C5" w:rsidRDefault="009F1C9A">
            <w:pPr>
              <w:rPr>
                <w:rFonts w:ascii="Verdana" w:hAnsi="Verdana" w:cs="Calibri"/>
                <w:b/>
                <w:bCs/>
                <w:color w:val="000000"/>
              </w:rPr>
            </w:pPr>
            <w:r w:rsidRPr="001750C5">
              <w:rPr>
                <w:rFonts w:ascii="Verdana" w:hAnsi="Verdana" w:cs="Calibri"/>
                <w:b/>
                <w:bCs/>
                <w:color w:val="000000"/>
              </w:rPr>
              <w:t>Introducing Financial Statements and Transaction Analysis</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rsidR="009F1C9A" w:rsidRDefault="009F1C9A">
            <w:pPr>
              <w:rPr>
                <w:rFonts w:ascii="Calibri" w:hAnsi="Calibri" w:cs="Calibri"/>
                <w:color w:val="000000"/>
              </w:rPr>
            </w:pPr>
            <w:r>
              <w:rPr>
                <w:rFonts w:ascii="Calibri" w:hAnsi="Calibri" w:cs="Calibri"/>
                <w:color w:val="000000"/>
              </w:rPr>
              <w:t>2-19, 20, 21, 22, 23, 27, 28, 37, 38, 41, 43, 46</w:t>
            </w:r>
          </w:p>
        </w:tc>
      </w:tr>
      <w:tr w:rsidR="009F1C9A">
        <w:trPr>
          <w:trHeight w:val="552"/>
        </w:trPr>
        <w:tc>
          <w:tcPr>
            <w:tcW w:w="745" w:type="dxa"/>
            <w:tcBorders>
              <w:top w:val="nil"/>
              <w:left w:val="nil"/>
              <w:bottom w:val="nil"/>
              <w:right w:val="nil"/>
            </w:tcBorders>
            <w:shd w:val="clear" w:color="000000" w:fill="FFFF99"/>
            <w:tcMar>
              <w:top w:w="9" w:type="dxa"/>
              <w:left w:w="9" w:type="dxa"/>
              <w:bottom w:w="0" w:type="dxa"/>
              <w:right w:w="9" w:type="dxa"/>
            </w:tcMar>
          </w:tcPr>
          <w:p w:rsidR="009F1C9A" w:rsidRPr="001750C5" w:rsidRDefault="009F1C9A" w:rsidP="00436DF8">
            <w:pPr>
              <w:jc w:val="center"/>
              <w:rPr>
                <w:rFonts w:ascii="Verdana" w:hAnsi="Verdana" w:cs="Calibri"/>
                <w:color w:val="000000"/>
              </w:rPr>
            </w:pPr>
            <w:r w:rsidRPr="001750C5">
              <w:rPr>
                <w:rFonts w:ascii="Verdana" w:hAnsi="Verdana" w:cs="Calibri"/>
                <w:color w:val="000000"/>
              </w:rPr>
              <w:t>3</w:t>
            </w:r>
          </w:p>
        </w:tc>
        <w:tc>
          <w:tcPr>
            <w:tcW w:w="4600" w:type="dxa"/>
            <w:tcBorders>
              <w:top w:val="nil"/>
              <w:left w:val="nil"/>
              <w:bottom w:val="nil"/>
              <w:right w:val="nil"/>
            </w:tcBorders>
            <w:shd w:val="clear" w:color="000000" w:fill="FFFF99"/>
            <w:tcMar>
              <w:top w:w="9" w:type="dxa"/>
              <w:left w:w="9" w:type="dxa"/>
              <w:bottom w:w="0" w:type="dxa"/>
              <w:right w:w="9" w:type="dxa"/>
            </w:tcMar>
          </w:tcPr>
          <w:p w:rsidR="009F1C9A" w:rsidRPr="001750C5" w:rsidRDefault="009F1C9A">
            <w:pPr>
              <w:rPr>
                <w:rFonts w:ascii="Verdana" w:hAnsi="Verdana" w:cs="Calibri"/>
                <w:b/>
                <w:bCs/>
                <w:color w:val="000000"/>
              </w:rPr>
            </w:pPr>
            <w:r w:rsidRPr="001750C5">
              <w:rPr>
                <w:rFonts w:ascii="Verdana" w:hAnsi="Verdana" w:cs="Calibri"/>
                <w:b/>
                <w:bCs/>
                <w:color w:val="000000"/>
              </w:rPr>
              <w:t>Accounting Adjustments and Constructing Financial Statements</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rsidR="009F1C9A" w:rsidRDefault="009F1C9A">
            <w:pPr>
              <w:rPr>
                <w:rFonts w:ascii="Calibri" w:hAnsi="Calibri" w:cs="Calibri"/>
                <w:color w:val="000000"/>
              </w:rPr>
            </w:pPr>
            <w:r>
              <w:rPr>
                <w:rFonts w:ascii="Calibri" w:hAnsi="Calibri" w:cs="Calibri"/>
                <w:color w:val="000000"/>
              </w:rPr>
              <w:t xml:space="preserve">3-18, 22, 26, 28, 30, 31, 41, </w:t>
            </w:r>
          </w:p>
        </w:tc>
      </w:tr>
      <w:tr w:rsidR="009F1C9A">
        <w:trPr>
          <w:trHeight w:val="552"/>
        </w:trPr>
        <w:tc>
          <w:tcPr>
            <w:tcW w:w="745" w:type="dxa"/>
            <w:tcBorders>
              <w:top w:val="nil"/>
              <w:left w:val="nil"/>
              <w:bottom w:val="nil"/>
              <w:right w:val="nil"/>
            </w:tcBorders>
            <w:shd w:val="clear" w:color="auto" w:fill="auto"/>
            <w:tcMar>
              <w:top w:w="9" w:type="dxa"/>
              <w:left w:w="9" w:type="dxa"/>
              <w:bottom w:w="0" w:type="dxa"/>
              <w:right w:w="9" w:type="dxa"/>
            </w:tcMar>
          </w:tcPr>
          <w:p w:rsidR="009F1C9A" w:rsidRPr="001750C5" w:rsidRDefault="009F1C9A" w:rsidP="00436DF8">
            <w:pPr>
              <w:jc w:val="center"/>
              <w:rPr>
                <w:rFonts w:ascii="Verdana" w:hAnsi="Verdana" w:cs="Calibri"/>
                <w:color w:val="000000"/>
              </w:rPr>
            </w:pPr>
            <w:r w:rsidRPr="001750C5">
              <w:rPr>
                <w:rFonts w:ascii="Verdana" w:hAnsi="Verdana" w:cs="Calibri"/>
                <w:color w:val="000000"/>
              </w:rPr>
              <w:t>6</w:t>
            </w:r>
          </w:p>
        </w:tc>
        <w:tc>
          <w:tcPr>
            <w:tcW w:w="4600" w:type="dxa"/>
            <w:tcBorders>
              <w:top w:val="nil"/>
              <w:left w:val="nil"/>
              <w:bottom w:val="nil"/>
              <w:right w:val="nil"/>
            </w:tcBorders>
            <w:shd w:val="clear" w:color="auto" w:fill="auto"/>
            <w:tcMar>
              <w:top w:w="9" w:type="dxa"/>
              <w:left w:w="9" w:type="dxa"/>
              <w:bottom w:w="0" w:type="dxa"/>
              <w:right w:w="9" w:type="dxa"/>
            </w:tcMar>
          </w:tcPr>
          <w:p w:rsidR="009F1C9A" w:rsidRPr="001750C5" w:rsidRDefault="009F1C9A">
            <w:pPr>
              <w:rPr>
                <w:rFonts w:ascii="Verdana" w:hAnsi="Verdana" w:cs="Calibri"/>
                <w:b/>
                <w:bCs/>
                <w:color w:val="000000"/>
              </w:rPr>
            </w:pPr>
            <w:r w:rsidRPr="001750C5">
              <w:rPr>
                <w:rFonts w:ascii="Verdana" w:hAnsi="Verdana" w:cs="Calibri"/>
                <w:b/>
                <w:bCs/>
                <w:color w:val="000000"/>
              </w:rPr>
              <w:t>Reporting and Analyzing Operating Assets</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rsidR="009F1C9A" w:rsidRDefault="00586ED4">
            <w:pPr>
              <w:rPr>
                <w:rFonts w:ascii="Calibri" w:hAnsi="Calibri" w:cs="Calibri"/>
                <w:color w:val="000000"/>
              </w:rPr>
            </w:pPr>
            <w:r>
              <w:rPr>
                <w:rFonts w:ascii="Calibri" w:hAnsi="Calibri" w:cs="Calibri"/>
                <w:color w:val="000000"/>
              </w:rPr>
              <w:t>6-12, 13, 14, 16, 17, 19, 22, 24, 25,</w:t>
            </w:r>
            <w:r w:rsidR="009F1C9A">
              <w:rPr>
                <w:rFonts w:ascii="Calibri" w:hAnsi="Calibri" w:cs="Calibri"/>
                <w:color w:val="000000"/>
              </w:rPr>
              <w:t xml:space="preserve"> 38</w:t>
            </w:r>
          </w:p>
        </w:tc>
      </w:tr>
      <w:tr w:rsidR="009F1C9A">
        <w:trPr>
          <w:trHeight w:val="552"/>
        </w:trPr>
        <w:tc>
          <w:tcPr>
            <w:tcW w:w="745" w:type="dxa"/>
            <w:tcBorders>
              <w:top w:val="nil"/>
              <w:left w:val="nil"/>
              <w:bottom w:val="nil"/>
              <w:right w:val="nil"/>
            </w:tcBorders>
            <w:shd w:val="clear" w:color="auto" w:fill="auto"/>
            <w:tcMar>
              <w:top w:w="9" w:type="dxa"/>
              <w:left w:w="9" w:type="dxa"/>
              <w:bottom w:w="0" w:type="dxa"/>
              <w:right w:w="9" w:type="dxa"/>
            </w:tcMar>
          </w:tcPr>
          <w:p w:rsidR="009F1C9A" w:rsidRPr="001750C5" w:rsidRDefault="009F1C9A" w:rsidP="00436DF8">
            <w:pPr>
              <w:jc w:val="center"/>
              <w:rPr>
                <w:rFonts w:ascii="Verdana" w:hAnsi="Verdana" w:cs="Calibri"/>
                <w:color w:val="000000"/>
              </w:rPr>
            </w:pPr>
            <w:r w:rsidRPr="001750C5">
              <w:rPr>
                <w:rFonts w:ascii="Verdana" w:hAnsi="Verdana" w:cs="Calibri"/>
                <w:color w:val="000000"/>
              </w:rPr>
              <w:t>8</w:t>
            </w:r>
          </w:p>
        </w:tc>
        <w:tc>
          <w:tcPr>
            <w:tcW w:w="4600" w:type="dxa"/>
            <w:tcBorders>
              <w:top w:val="nil"/>
              <w:left w:val="nil"/>
              <w:bottom w:val="nil"/>
              <w:right w:val="nil"/>
            </w:tcBorders>
            <w:shd w:val="clear" w:color="auto" w:fill="auto"/>
            <w:tcMar>
              <w:top w:w="9" w:type="dxa"/>
              <w:left w:w="9" w:type="dxa"/>
              <w:bottom w:w="0" w:type="dxa"/>
              <w:right w:w="9" w:type="dxa"/>
            </w:tcMar>
          </w:tcPr>
          <w:p w:rsidR="009F1C9A" w:rsidRPr="001750C5" w:rsidRDefault="009F1C9A">
            <w:pPr>
              <w:rPr>
                <w:rFonts w:ascii="Verdana" w:hAnsi="Verdana" w:cs="Calibri"/>
                <w:b/>
                <w:bCs/>
                <w:color w:val="000000"/>
              </w:rPr>
            </w:pPr>
            <w:r w:rsidRPr="001750C5">
              <w:rPr>
                <w:rFonts w:ascii="Verdana" w:hAnsi="Verdana" w:cs="Calibri"/>
                <w:b/>
                <w:bCs/>
                <w:color w:val="000000"/>
              </w:rPr>
              <w:t xml:space="preserve">Reporting and Analyzing </w:t>
            </w:r>
            <w:proofErr w:type="spellStart"/>
            <w:r w:rsidRPr="001750C5">
              <w:rPr>
                <w:rFonts w:ascii="Verdana" w:hAnsi="Verdana" w:cs="Calibri"/>
                <w:b/>
                <w:bCs/>
                <w:color w:val="000000"/>
              </w:rPr>
              <w:t>Nonowner</w:t>
            </w:r>
            <w:proofErr w:type="spellEnd"/>
            <w:r w:rsidRPr="001750C5">
              <w:rPr>
                <w:rFonts w:ascii="Verdana" w:hAnsi="Verdana" w:cs="Calibri"/>
                <w:b/>
                <w:bCs/>
                <w:color w:val="000000"/>
              </w:rPr>
              <w:t xml:space="preserve"> Financing </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rsidR="009F1C9A" w:rsidRDefault="009F1C9A">
            <w:pPr>
              <w:rPr>
                <w:rFonts w:ascii="Calibri" w:hAnsi="Calibri" w:cs="Calibri"/>
                <w:color w:val="000000"/>
              </w:rPr>
            </w:pPr>
            <w:r>
              <w:rPr>
                <w:rFonts w:ascii="Calibri" w:hAnsi="Calibri" w:cs="Calibri"/>
                <w:color w:val="000000"/>
              </w:rPr>
              <w:t>8- 8, 9</w:t>
            </w:r>
            <w:r w:rsidR="00586ED4">
              <w:rPr>
                <w:rFonts w:ascii="Calibri" w:hAnsi="Calibri" w:cs="Calibri"/>
                <w:color w:val="000000"/>
              </w:rPr>
              <w:t>, 10, 13, 29, 30, 31, 32, 33, 35</w:t>
            </w:r>
            <w:r>
              <w:rPr>
                <w:rFonts w:ascii="Calibri" w:hAnsi="Calibri" w:cs="Calibri"/>
                <w:color w:val="000000"/>
              </w:rPr>
              <w:t>. 36, 41</w:t>
            </w:r>
          </w:p>
        </w:tc>
      </w:tr>
      <w:tr w:rsidR="009F1C9A">
        <w:trPr>
          <w:trHeight w:val="552"/>
        </w:trPr>
        <w:tc>
          <w:tcPr>
            <w:tcW w:w="745" w:type="dxa"/>
            <w:tcBorders>
              <w:top w:val="nil"/>
              <w:left w:val="nil"/>
              <w:bottom w:val="nil"/>
              <w:right w:val="nil"/>
            </w:tcBorders>
            <w:shd w:val="clear" w:color="000000" w:fill="FFFF99"/>
            <w:tcMar>
              <w:top w:w="9" w:type="dxa"/>
              <w:left w:w="9" w:type="dxa"/>
              <w:bottom w:w="0" w:type="dxa"/>
              <w:right w:w="9" w:type="dxa"/>
            </w:tcMar>
          </w:tcPr>
          <w:p w:rsidR="009F1C9A" w:rsidRPr="001750C5" w:rsidRDefault="009F1C9A" w:rsidP="00436DF8">
            <w:pPr>
              <w:jc w:val="center"/>
              <w:rPr>
                <w:rFonts w:ascii="Verdana" w:hAnsi="Verdana" w:cs="Calibri"/>
                <w:color w:val="000000"/>
              </w:rPr>
            </w:pPr>
            <w:r w:rsidRPr="001750C5">
              <w:rPr>
                <w:rFonts w:ascii="Verdana" w:hAnsi="Verdana" w:cs="Calibri"/>
                <w:color w:val="000000"/>
              </w:rPr>
              <w:t>9</w:t>
            </w:r>
          </w:p>
        </w:tc>
        <w:tc>
          <w:tcPr>
            <w:tcW w:w="4600" w:type="dxa"/>
            <w:tcBorders>
              <w:top w:val="nil"/>
              <w:left w:val="nil"/>
              <w:bottom w:val="nil"/>
              <w:right w:val="nil"/>
            </w:tcBorders>
            <w:shd w:val="clear" w:color="000000" w:fill="FFFF99"/>
            <w:tcMar>
              <w:top w:w="9" w:type="dxa"/>
              <w:left w:w="9" w:type="dxa"/>
              <w:bottom w:w="0" w:type="dxa"/>
              <w:right w:w="9" w:type="dxa"/>
            </w:tcMar>
          </w:tcPr>
          <w:p w:rsidR="009F1C9A" w:rsidRPr="001750C5" w:rsidRDefault="009F1C9A">
            <w:pPr>
              <w:rPr>
                <w:rFonts w:ascii="Verdana" w:hAnsi="Verdana" w:cs="Calibri"/>
                <w:b/>
                <w:bCs/>
                <w:color w:val="000000"/>
              </w:rPr>
            </w:pPr>
            <w:r w:rsidRPr="001750C5">
              <w:rPr>
                <w:rFonts w:ascii="Verdana" w:hAnsi="Verdana" w:cs="Calibri"/>
                <w:b/>
                <w:bCs/>
                <w:color w:val="000000"/>
              </w:rPr>
              <w:t>Reporting and Analyzing Owner Financing</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rsidR="009F1C9A" w:rsidRDefault="009F1C9A">
            <w:pPr>
              <w:rPr>
                <w:rFonts w:ascii="Calibri" w:hAnsi="Calibri" w:cs="Calibri"/>
                <w:color w:val="000000"/>
              </w:rPr>
            </w:pPr>
            <w:r>
              <w:rPr>
                <w:rFonts w:ascii="Calibri" w:hAnsi="Calibri" w:cs="Calibri"/>
                <w:color w:val="000000"/>
              </w:rPr>
              <w:t>9- 19, 20, 21, 24, 25, 27, 28, 44</w:t>
            </w:r>
          </w:p>
        </w:tc>
      </w:tr>
      <w:tr w:rsidR="009F1C9A">
        <w:trPr>
          <w:trHeight w:val="288"/>
        </w:trPr>
        <w:tc>
          <w:tcPr>
            <w:tcW w:w="745" w:type="dxa"/>
            <w:tcBorders>
              <w:top w:val="nil"/>
              <w:left w:val="nil"/>
              <w:bottom w:val="nil"/>
              <w:right w:val="nil"/>
            </w:tcBorders>
            <w:shd w:val="clear" w:color="000000" w:fill="FFFF99"/>
            <w:tcMar>
              <w:top w:w="9" w:type="dxa"/>
              <w:left w:w="9" w:type="dxa"/>
              <w:bottom w:w="0" w:type="dxa"/>
              <w:right w:w="9" w:type="dxa"/>
            </w:tcMar>
          </w:tcPr>
          <w:p w:rsidR="009F1C9A" w:rsidRPr="001750C5" w:rsidRDefault="009F1C9A" w:rsidP="00436DF8">
            <w:pPr>
              <w:jc w:val="center"/>
              <w:rPr>
                <w:rFonts w:ascii="Verdana" w:hAnsi="Verdana" w:cs="Calibri"/>
                <w:color w:val="000000"/>
              </w:rPr>
            </w:pPr>
            <w:r w:rsidRPr="001750C5">
              <w:rPr>
                <w:rFonts w:ascii="Verdana" w:hAnsi="Verdana" w:cs="Calibri"/>
                <w:color w:val="000000"/>
              </w:rPr>
              <w:t>13</w:t>
            </w:r>
          </w:p>
        </w:tc>
        <w:tc>
          <w:tcPr>
            <w:tcW w:w="4600" w:type="dxa"/>
            <w:tcBorders>
              <w:top w:val="nil"/>
              <w:left w:val="nil"/>
              <w:bottom w:val="nil"/>
              <w:right w:val="nil"/>
            </w:tcBorders>
            <w:shd w:val="clear" w:color="000000" w:fill="FFFF99"/>
            <w:tcMar>
              <w:top w:w="9" w:type="dxa"/>
              <w:left w:w="9" w:type="dxa"/>
              <w:bottom w:w="0" w:type="dxa"/>
              <w:right w:w="9" w:type="dxa"/>
            </w:tcMar>
          </w:tcPr>
          <w:p w:rsidR="009F1C9A" w:rsidRPr="001750C5" w:rsidRDefault="009F1C9A">
            <w:pPr>
              <w:rPr>
                <w:rFonts w:ascii="Verdana" w:hAnsi="Verdana" w:cs="Calibri"/>
                <w:b/>
                <w:bCs/>
                <w:color w:val="000000"/>
              </w:rPr>
            </w:pPr>
            <w:r w:rsidRPr="001750C5">
              <w:rPr>
                <w:rFonts w:ascii="Verdana" w:hAnsi="Verdana" w:cs="Calibri"/>
                <w:b/>
                <w:bCs/>
                <w:color w:val="000000"/>
              </w:rPr>
              <w:t>Managerial Accounting for MBAs</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rsidR="009F1C9A" w:rsidRDefault="009F1C9A">
            <w:pPr>
              <w:rPr>
                <w:rFonts w:ascii="Calibri" w:hAnsi="Calibri" w:cs="Calibri"/>
                <w:color w:val="000000"/>
              </w:rPr>
            </w:pPr>
            <w:r>
              <w:rPr>
                <w:rFonts w:ascii="Calibri" w:hAnsi="Calibri" w:cs="Calibri"/>
                <w:color w:val="000000"/>
              </w:rPr>
              <w:t>13- 29, 30</w:t>
            </w:r>
          </w:p>
        </w:tc>
      </w:tr>
      <w:tr w:rsidR="009F1C9A">
        <w:trPr>
          <w:trHeight w:val="552"/>
        </w:trPr>
        <w:tc>
          <w:tcPr>
            <w:tcW w:w="745" w:type="dxa"/>
            <w:tcBorders>
              <w:top w:val="nil"/>
              <w:left w:val="nil"/>
              <w:bottom w:val="nil"/>
              <w:right w:val="nil"/>
            </w:tcBorders>
            <w:shd w:val="clear" w:color="000000" w:fill="FFFF99"/>
            <w:tcMar>
              <w:top w:w="9" w:type="dxa"/>
              <w:left w:w="9" w:type="dxa"/>
              <w:bottom w:w="0" w:type="dxa"/>
              <w:right w:w="9" w:type="dxa"/>
            </w:tcMar>
          </w:tcPr>
          <w:p w:rsidR="009F1C9A" w:rsidRPr="001750C5" w:rsidRDefault="009F1C9A" w:rsidP="00436DF8">
            <w:pPr>
              <w:jc w:val="center"/>
              <w:rPr>
                <w:rFonts w:ascii="Verdana" w:hAnsi="Verdana" w:cs="Calibri"/>
                <w:color w:val="000000"/>
              </w:rPr>
            </w:pPr>
            <w:r w:rsidRPr="001750C5">
              <w:rPr>
                <w:rFonts w:ascii="Verdana" w:hAnsi="Verdana" w:cs="Calibri"/>
                <w:color w:val="000000"/>
              </w:rPr>
              <w:t>15</w:t>
            </w:r>
          </w:p>
        </w:tc>
        <w:tc>
          <w:tcPr>
            <w:tcW w:w="4600" w:type="dxa"/>
            <w:tcBorders>
              <w:top w:val="nil"/>
              <w:left w:val="nil"/>
              <w:bottom w:val="nil"/>
              <w:right w:val="nil"/>
            </w:tcBorders>
            <w:shd w:val="clear" w:color="000000" w:fill="FFFF99"/>
            <w:tcMar>
              <w:top w:w="9" w:type="dxa"/>
              <w:left w:w="9" w:type="dxa"/>
              <w:bottom w:w="0" w:type="dxa"/>
              <w:right w:w="9" w:type="dxa"/>
            </w:tcMar>
          </w:tcPr>
          <w:p w:rsidR="009F1C9A" w:rsidRPr="001750C5" w:rsidRDefault="009F1C9A">
            <w:pPr>
              <w:rPr>
                <w:rFonts w:ascii="Verdana" w:hAnsi="Verdana" w:cs="Calibri"/>
                <w:b/>
                <w:bCs/>
                <w:color w:val="000000"/>
              </w:rPr>
            </w:pPr>
            <w:r w:rsidRPr="001750C5">
              <w:rPr>
                <w:rFonts w:ascii="Verdana" w:hAnsi="Verdana" w:cs="Calibri"/>
                <w:b/>
                <w:bCs/>
                <w:color w:val="000000"/>
              </w:rPr>
              <w:t>Cost-Volume-Profit Analysis and Planning</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rsidR="009F1C9A" w:rsidRDefault="009F1C9A">
            <w:pPr>
              <w:rPr>
                <w:rFonts w:ascii="Calibri" w:hAnsi="Calibri" w:cs="Calibri"/>
                <w:color w:val="000000"/>
              </w:rPr>
            </w:pPr>
            <w:r>
              <w:rPr>
                <w:rFonts w:ascii="Calibri" w:hAnsi="Calibri" w:cs="Calibri"/>
                <w:color w:val="000000"/>
              </w:rPr>
              <w:t xml:space="preserve">15-11, 12, 17, 20, 21, 24, 25, </w:t>
            </w:r>
          </w:p>
        </w:tc>
      </w:tr>
      <w:tr w:rsidR="009F1C9A">
        <w:trPr>
          <w:trHeight w:val="552"/>
        </w:trPr>
        <w:tc>
          <w:tcPr>
            <w:tcW w:w="745" w:type="dxa"/>
            <w:tcBorders>
              <w:top w:val="nil"/>
              <w:left w:val="nil"/>
              <w:bottom w:val="nil"/>
              <w:right w:val="nil"/>
            </w:tcBorders>
            <w:shd w:val="clear" w:color="auto" w:fill="auto"/>
            <w:tcMar>
              <w:top w:w="9" w:type="dxa"/>
              <w:left w:w="9" w:type="dxa"/>
              <w:bottom w:w="0" w:type="dxa"/>
              <w:right w:w="9" w:type="dxa"/>
            </w:tcMar>
          </w:tcPr>
          <w:p w:rsidR="009F1C9A" w:rsidRPr="001750C5" w:rsidRDefault="009F1C9A" w:rsidP="00436DF8">
            <w:pPr>
              <w:jc w:val="center"/>
              <w:rPr>
                <w:rFonts w:ascii="Verdana" w:hAnsi="Verdana" w:cs="Calibri"/>
                <w:color w:val="000000"/>
              </w:rPr>
            </w:pPr>
            <w:r w:rsidRPr="001750C5">
              <w:rPr>
                <w:rFonts w:ascii="Verdana" w:hAnsi="Verdana" w:cs="Calibri"/>
                <w:color w:val="000000"/>
              </w:rPr>
              <w:t>16</w:t>
            </w:r>
          </w:p>
        </w:tc>
        <w:tc>
          <w:tcPr>
            <w:tcW w:w="4600" w:type="dxa"/>
            <w:tcBorders>
              <w:top w:val="nil"/>
              <w:left w:val="nil"/>
              <w:bottom w:val="nil"/>
              <w:right w:val="nil"/>
            </w:tcBorders>
            <w:shd w:val="clear" w:color="auto" w:fill="auto"/>
            <w:tcMar>
              <w:top w:w="9" w:type="dxa"/>
              <w:left w:w="9" w:type="dxa"/>
              <w:bottom w:w="0" w:type="dxa"/>
              <w:right w:w="9" w:type="dxa"/>
            </w:tcMar>
          </w:tcPr>
          <w:p w:rsidR="009F1C9A" w:rsidRPr="001750C5" w:rsidRDefault="009F1C9A">
            <w:pPr>
              <w:rPr>
                <w:rFonts w:ascii="Verdana" w:hAnsi="Verdana" w:cs="Calibri"/>
                <w:b/>
                <w:bCs/>
                <w:color w:val="000000"/>
              </w:rPr>
            </w:pPr>
            <w:r w:rsidRPr="001750C5">
              <w:rPr>
                <w:rFonts w:ascii="Verdana" w:hAnsi="Verdana" w:cs="Calibri"/>
                <w:b/>
                <w:bCs/>
                <w:color w:val="000000"/>
              </w:rPr>
              <w:t>Relevant Costs and Benefits for Decision Making</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rsidR="009F1C9A" w:rsidRDefault="009F1C9A">
            <w:pPr>
              <w:rPr>
                <w:rFonts w:ascii="Calibri" w:hAnsi="Calibri" w:cs="Calibri"/>
                <w:color w:val="000000"/>
              </w:rPr>
            </w:pPr>
            <w:r>
              <w:rPr>
                <w:rFonts w:ascii="Calibri" w:hAnsi="Calibri" w:cs="Calibri"/>
                <w:color w:val="000000"/>
              </w:rPr>
              <w:t xml:space="preserve">16-14, 17, 20, 22, </w:t>
            </w:r>
          </w:p>
        </w:tc>
      </w:tr>
      <w:tr w:rsidR="009F1C9A">
        <w:trPr>
          <w:trHeight w:val="552"/>
        </w:trPr>
        <w:tc>
          <w:tcPr>
            <w:tcW w:w="745" w:type="dxa"/>
            <w:tcBorders>
              <w:top w:val="nil"/>
              <w:left w:val="nil"/>
              <w:bottom w:val="nil"/>
              <w:right w:val="nil"/>
            </w:tcBorders>
            <w:shd w:val="clear" w:color="000000" w:fill="FFFF99"/>
            <w:tcMar>
              <w:top w:w="9" w:type="dxa"/>
              <w:left w:w="9" w:type="dxa"/>
              <w:bottom w:w="0" w:type="dxa"/>
              <w:right w:w="9" w:type="dxa"/>
            </w:tcMar>
          </w:tcPr>
          <w:p w:rsidR="009F1C9A" w:rsidRPr="001750C5" w:rsidRDefault="009F1C9A" w:rsidP="00436DF8">
            <w:pPr>
              <w:jc w:val="center"/>
              <w:rPr>
                <w:rFonts w:ascii="Verdana" w:hAnsi="Verdana" w:cs="Calibri"/>
                <w:color w:val="000000"/>
              </w:rPr>
            </w:pPr>
            <w:r w:rsidRPr="001750C5">
              <w:rPr>
                <w:rFonts w:ascii="Verdana" w:hAnsi="Verdana" w:cs="Calibri"/>
                <w:color w:val="000000"/>
              </w:rPr>
              <w:t>17</w:t>
            </w:r>
          </w:p>
        </w:tc>
        <w:tc>
          <w:tcPr>
            <w:tcW w:w="4600" w:type="dxa"/>
            <w:tcBorders>
              <w:top w:val="nil"/>
              <w:left w:val="nil"/>
              <w:bottom w:val="nil"/>
              <w:right w:val="nil"/>
            </w:tcBorders>
            <w:shd w:val="clear" w:color="000000" w:fill="FFFF99"/>
            <w:tcMar>
              <w:top w:w="9" w:type="dxa"/>
              <w:left w:w="9" w:type="dxa"/>
              <w:bottom w:w="0" w:type="dxa"/>
              <w:right w:w="9" w:type="dxa"/>
            </w:tcMar>
          </w:tcPr>
          <w:p w:rsidR="009F1C9A" w:rsidRPr="001750C5" w:rsidRDefault="009F1C9A">
            <w:pPr>
              <w:rPr>
                <w:rFonts w:ascii="Verdana" w:hAnsi="Verdana" w:cs="Calibri"/>
                <w:b/>
                <w:bCs/>
                <w:color w:val="000000"/>
              </w:rPr>
            </w:pPr>
            <w:r w:rsidRPr="001750C5">
              <w:rPr>
                <w:rFonts w:ascii="Verdana" w:hAnsi="Verdana" w:cs="Calibri"/>
                <w:b/>
                <w:bCs/>
                <w:color w:val="000000"/>
              </w:rPr>
              <w:t>Product Costing: Job and Process Operations</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rsidR="009F1C9A" w:rsidRDefault="009F1C9A">
            <w:pPr>
              <w:rPr>
                <w:rFonts w:ascii="Calibri" w:hAnsi="Calibri" w:cs="Calibri"/>
                <w:color w:val="000000"/>
              </w:rPr>
            </w:pPr>
            <w:r>
              <w:rPr>
                <w:rFonts w:ascii="Calibri" w:hAnsi="Calibri" w:cs="Calibri"/>
                <w:color w:val="000000"/>
              </w:rPr>
              <w:t>17- 14, 15, 21, 22, 32, 33, 34, 35</w:t>
            </w:r>
          </w:p>
        </w:tc>
      </w:tr>
      <w:tr w:rsidR="009F1C9A">
        <w:trPr>
          <w:trHeight w:val="552"/>
        </w:trPr>
        <w:tc>
          <w:tcPr>
            <w:tcW w:w="745" w:type="dxa"/>
            <w:vMerge w:val="restart"/>
            <w:tcBorders>
              <w:top w:val="nil"/>
              <w:left w:val="nil"/>
              <w:bottom w:val="nil"/>
              <w:right w:val="nil"/>
            </w:tcBorders>
            <w:shd w:val="clear" w:color="auto" w:fill="auto"/>
            <w:tcMar>
              <w:top w:w="9" w:type="dxa"/>
              <w:left w:w="9" w:type="dxa"/>
              <w:bottom w:w="0" w:type="dxa"/>
              <w:right w:w="9" w:type="dxa"/>
            </w:tcMar>
          </w:tcPr>
          <w:p w:rsidR="009F1C9A" w:rsidRPr="001750C5" w:rsidRDefault="009F1C9A" w:rsidP="00436DF8">
            <w:pPr>
              <w:jc w:val="center"/>
              <w:rPr>
                <w:rFonts w:ascii="Verdana" w:hAnsi="Verdana" w:cs="Calibri"/>
                <w:color w:val="000000"/>
              </w:rPr>
            </w:pPr>
            <w:r w:rsidRPr="001750C5">
              <w:rPr>
                <w:rFonts w:ascii="Verdana" w:hAnsi="Verdana" w:cs="Calibri"/>
                <w:color w:val="000000"/>
              </w:rPr>
              <w:t>18</w:t>
            </w:r>
          </w:p>
        </w:tc>
        <w:tc>
          <w:tcPr>
            <w:tcW w:w="4600" w:type="dxa"/>
            <w:tcBorders>
              <w:top w:val="nil"/>
              <w:left w:val="nil"/>
              <w:bottom w:val="nil"/>
              <w:right w:val="nil"/>
            </w:tcBorders>
            <w:shd w:val="clear" w:color="auto" w:fill="auto"/>
            <w:tcMar>
              <w:top w:w="9" w:type="dxa"/>
              <w:left w:w="9" w:type="dxa"/>
              <w:bottom w:w="0" w:type="dxa"/>
              <w:right w:w="9" w:type="dxa"/>
            </w:tcMar>
          </w:tcPr>
          <w:p w:rsidR="009F1C9A" w:rsidRPr="001750C5" w:rsidRDefault="009F1C9A">
            <w:pPr>
              <w:rPr>
                <w:rFonts w:ascii="Verdana" w:hAnsi="Verdana" w:cs="Calibri"/>
                <w:b/>
                <w:bCs/>
                <w:color w:val="000000"/>
              </w:rPr>
            </w:pPr>
            <w:r w:rsidRPr="001750C5">
              <w:rPr>
                <w:rFonts w:ascii="Verdana" w:hAnsi="Verdana" w:cs="Calibri"/>
                <w:b/>
                <w:bCs/>
                <w:color w:val="000000"/>
              </w:rPr>
              <w:t>Activity-Based Costing, Customer Profitability, and Activity-Based</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rsidR="009F1C9A" w:rsidRDefault="009F1C9A">
            <w:pPr>
              <w:rPr>
                <w:rFonts w:ascii="Calibri" w:hAnsi="Calibri" w:cs="Calibri"/>
                <w:color w:val="000000"/>
              </w:rPr>
            </w:pPr>
            <w:r>
              <w:rPr>
                <w:rFonts w:ascii="Calibri" w:hAnsi="Calibri" w:cs="Calibri"/>
                <w:color w:val="000000"/>
              </w:rPr>
              <w:t>18- 15, 16, 19, 20, 21</w:t>
            </w:r>
          </w:p>
        </w:tc>
      </w:tr>
      <w:tr w:rsidR="009F1C9A">
        <w:trPr>
          <w:trHeight w:val="288"/>
        </w:trPr>
        <w:tc>
          <w:tcPr>
            <w:tcW w:w="0" w:type="auto"/>
            <w:vMerge/>
            <w:tcBorders>
              <w:top w:val="nil"/>
              <w:left w:val="nil"/>
              <w:bottom w:val="nil"/>
              <w:right w:val="nil"/>
            </w:tcBorders>
            <w:vAlign w:val="center"/>
          </w:tcPr>
          <w:p w:rsidR="009F1C9A" w:rsidRPr="001750C5" w:rsidRDefault="009F1C9A" w:rsidP="00436DF8">
            <w:pPr>
              <w:jc w:val="center"/>
              <w:rPr>
                <w:rFonts w:ascii="Verdana" w:hAnsi="Verdana" w:cs="Calibri"/>
                <w:color w:val="000000"/>
              </w:rPr>
            </w:pPr>
          </w:p>
        </w:tc>
        <w:tc>
          <w:tcPr>
            <w:tcW w:w="4600" w:type="dxa"/>
            <w:tcBorders>
              <w:top w:val="nil"/>
              <w:left w:val="nil"/>
              <w:bottom w:val="nil"/>
              <w:right w:val="nil"/>
            </w:tcBorders>
            <w:shd w:val="clear" w:color="auto" w:fill="auto"/>
            <w:tcMar>
              <w:top w:w="9" w:type="dxa"/>
              <w:left w:w="9" w:type="dxa"/>
              <w:bottom w:w="0" w:type="dxa"/>
              <w:right w:w="9" w:type="dxa"/>
            </w:tcMar>
          </w:tcPr>
          <w:p w:rsidR="009F1C9A" w:rsidRPr="001750C5" w:rsidRDefault="009F1C9A">
            <w:pPr>
              <w:rPr>
                <w:rFonts w:ascii="Verdana" w:hAnsi="Verdana" w:cs="Calibri"/>
                <w:b/>
                <w:bCs/>
                <w:color w:val="000000"/>
              </w:rPr>
            </w:pPr>
            <w:r w:rsidRPr="001750C5">
              <w:rPr>
                <w:rFonts w:ascii="Verdana" w:hAnsi="Verdana" w:cs="Calibri"/>
                <w:b/>
                <w:bCs/>
                <w:color w:val="000000"/>
              </w:rPr>
              <w:t>Management</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rsidR="009F1C9A" w:rsidRDefault="009F1C9A">
            <w:pPr>
              <w:rPr>
                <w:rFonts w:ascii="Calibri" w:hAnsi="Calibri" w:cs="Calibri"/>
                <w:color w:val="000000"/>
              </w:rPr>
            </w:pPr>
          </w:p>
        </w:tc>
      </w:tr>
      <w:tr w:rsidR="009F1C9A">
        <w:trPr>
          <w:trHeight w:val="552"/>
        </w:trPr>
        <w:tc>
          <w:tcPr>
            <w:tcW w:w="745" w:type="dxa"/>
            <w:tcBorders>
              <w:top w:val="nil"/>
              <w:left w:val="nil"/>
              <w:bottom w:val="nil"/>
              <w:right w:val="nil"/>
            </w:tcBorders>
            <w:shd w:val="clear" w:color="000000" w:fill="FFFF99"/>
            <w:tcMar>
              <w:top w:w="9" w:type="dxa"/>
              <w:left w:w="9" w:type="dxa"/>
              <w:bottom w:w="0" w:type="dxa"/>
              <w:right w:w="9" w:type="dxa"/>
            </w:tcMar>
          </w:tcPr>
          <w:p w:rsidR="009F1C9A" w:rsidRPr="001750C5" w:rsidRDefault="009F1C9A" w:rsidP="00436DF8">
            <w:pPr>
              <w:jc w:val="center"/>
              <w:rPr>
                <w:rFonts w:ascii="Verdana" w:hAnsi="Verdana" w:cs="Calibri"/>
                <w:color w:val="000000"/>
              </w:rPr>
            </w:pPr>
            <w:r w:rsidRPr="001750C5">
              <w:rPr>
                <w:rFonts w:ascii="Verdana" w:hAnsi="Verdana" w:cs="Calibri"/>
                <w:color w:val="000000"/>
              </w:rPr>
              <w:t>21</w:t>
            </w:r>
          </w:p>
        </w:tc>
        <w:tc>
          <w:tcPr>
            <w:tcW w:w="4600" w:type="dxa"/>
            <w:tcBorders>
              <w:top w:val="nil"/>
              <w:left w:val="nil"/>
              <w:bottom w:val="nil"/>
              <w:right w:val="nil"/>
            </w:tcBorders>
            <w:shd w:val="clear" w:color="000000" w:fill="FFFF99"/>
            <w:tcMar>
              <w:top w:w="9" w:type="dxa"/>
              <w:left w:w="9" w:type="dxa"/>
              <w:bottom w:w="0" w:type="dxa"/>
              <w:right w:w="9" w:type="dxa"/>
            </w:tcMar>
          </w:tcPr>
          <w:p w:rsidR="009F1C9A" w:rsidRPr="001750C5" w:rsidRDefault="009F1C9A">
            <w:pPr>
              <w:rPr>
                <w:rFonts w:ascii="Verdana" w:hAnsi="Verdana" w:cs="Calibri"/>
                <w:b/>
                <w:bCs/>
                <w:color w:val="000000"/>
              </w:rPr>
            </w:pPr>
            <w:r w:rsidRPr="001750C5">
              <w:rPr>
                <w:rFonts w:ascii="Verdana" w:hAnsi="Verdana" w:cs="Calibri"/>
                <w:b/>
                <w:bCs/>
                <w:color w:val="000000"/>
              </w:rPr>
              <w:t>Operational Budgeting and Profit Planning</w:t>
            </w:r>
          </w:p>
        </w:tc>
        <w:tc>
          <w:tcPr>
            <w:tcW w:w="0" w:type="auto"/>
            <w:tcBorders>
              <w:top w:val="nil"/>
              <w:left w:val="nil"/>
              <w:bottom w:val="nil"/>
              <w:right w:val="nil"/>
            </w:tcBorders>
            <w:shd w:val="clear" w:color="auto" w:fill="auto"/>
            <w:noWrap/>
            <w:tcMar>
              <w:top w:w="9" w:type="dxa"/>
              <w:left w:w="9" w:type="dxa"/>
              <w:bottom w:w="0" w:type="dxa"/>
              <w:right w:w="9" w:type="dxa"/>
            </w:tcMar>
            <w:vAlign w:val="bottom"/>
          </w:tcPr>
          <w:p w:rsidR="009F1C9A" w:rsidRDefault="009F1C9A">
            <w:pPr>
              <w:rPr>
                <w:rFonts w:ascii="Calibri" w:hAnsi="Calibri" w:cs="Calibri"/>
                <w:color w:val="000000"/>
              </w:rPr>
            </w:pPr>
            <w:r>
              <w:rPr>
                <w:rFonts w:ascii="Calibri" w:hAnsi="Calibri" w:cs="Calibri"/>
                <w:color w:val="000000"/>
              </w:rPr>
              <w:t>21- 19, 20, 27, 28, 29, 30, 37</w:t>
            </w:r>
          </w:p>
        </w:tc>
      </w:tr>
    </w:tbl>
    <w:p w:rsidR="009F1C9A" w:rsidRPr="00561005" w:rsidRDefault="009F1C9A" w:rsidP="009F1C9A">
      <w:pPr>
        <w:rPr>
          <w:b/>
          <w:sz w:val="36"/>
          <w:szCs w:val="36"/>
        </w:rPr>
      </w:pPr>
    </w:p>
    <w:sectPr w:rsidR="009F1C9A" w:rsidRPr="00561005" w:rsidSect="00586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ew Century Schlbk">
    <w:altName w:val="Century Schoolbook"/>
    <w:panose1 w:val="00000000000000000000"/>
    <w:charset w:val="4D"/>
    <w:family w:val="auto"/>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85AB1"/>
    <w:multiLevelType w:val="hybridMultilevel"/>
    <w:tmpl w:val="E8767B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922B05"/>
    <w:rsid w:val="000754F7"/>
    <w:rsid w:val="000822E5"/>
    <w:rsid w:val="000B1164"/>
    <w:rsid w:val="000F2520"/>
    <w:rsid w:val="001607DA"/>
    <w:rsid w:val="001750C5"/>
    <w:rsid w:val="001917C5"/>
    <w:rsid w:val="001A23FE"/>
    <w:rsid w:val="001D4AF1"/>
    <w:rsid w:val="001F3516"/>
    <w:rsid w:val="00220068"/>
    <w:rsid w:val="00270015"/>
    <w:rsid w:val="002A125B"/>
    <w:rsid w:val="002B5E5D"/>
    <w:rsid w:val="002B6CBC"/>
    <w:rsid w:val="002C10C4"/>
    <w:rsid w:val="002C76F5"/>
    <w:rsid w:val="002D2978"/>
    <w:rsid w:val="0031073B"/>
    <w:rsid w:val="00362D40"/>
    <w:rsid w:val="0036742D"/>
    <w:rsid w:val="003820FE"/>
    <w:rsid w:val="00392B25"/>
    <w:rsid w:val="00397A19"/>
    <w:rsid w:val="003A55EB"/>
    <w:rsid w:val="003B2ADE"/>
    <w:rsid w:val="004218DB"/>
    <w:rsid w:val="00427CAA"/>
    <w:rsid w:val="00436DF8"/>
    <w:rsid w:val="00474740"/>
    <w:rsid w:val="0049358B"/>
    <w:rsid w:val="004B0E82"/>
    <w:rsid w:val="004B3E74"/>
    <w:rsid w:val="004B5EF9"/>
    <w:rsid w:val="004B6F34"/>
    <w:rsid w:val="0051387F"/>
    <w:rsid w:val="00551A18"/>
    <w:rsid w:val="00552483"/>
    <w:rsid w:val="005554EE"/>
    <w:rsid w:val="00561005"/>
    <w:rsid w:val="00565195"/>
    <w:rsid w:val="00571691"/>
    <w:rsid w:val="00572741"/>
    <w:rsid w:val="00577073"/>
    <w:rsid w:val="00586ED4"/>
    <w:rsid w:val="005A4EEE"/>
    <w:rsid w:val="005B6CF1"/>
    <w:rsid w:val="005C25C2"/>
    <w:rsid w:val="00643C1D"/>
    <w:rsid w:val="0064799B"/>
    <w:rsid w:val="00665083"/>
    <w:rsid w:val="00685ABC"/>
    <w:rsid w:val="006B4BEC"/>
    <w:rsid w:val="006B686C"/>
    <w:rsid w:val="006C61D3"/>
    <w:rsid w:val="006E5DDE"/>
    <w:rsid w:val="006E77BC"/>
    <w:rsid w:val="00741155"/>
    <w:rsid w:val="007626E7"/>
    <w:rsid w:val="00796318"/>
    <w:rsid w:val="007A37BD"/>
    <w:rsid w:val="007F20EB"/>
    <w:rsid w:val="00807B3C"/>
    <w:rsid w:val="00823F80"/>
    <w:rsid w:val="0082488E"/>
    <w:rsid w:val="008347B2"/>
    <w:rsid w:val="0087524E"/>
    <w:rsid w:val="00881BCC"/>
    <w:rsid w:val="00885266"/>
    <w:rsid w:val="00886950"/>
    <w:rsid w:val="008A2535"/>
    <w:rsid w:val="008C2D46"/>
    <w:rsid w:val="008F0159"/>
    <w:rsid w:val="008F6DDD"/>
    <w:rsid w:val="00916A12"/>
    <w:rsid w:val="00922B05"/>
    <w:rsid w:val="009317A3"/>
    <w:rsid w:val="0094302A"/>
    <w:rsid w:val="009801FF"/>
    <w:rsid w:val="009A11D6"/>
    <w:rsid w:val="009A5E6F"/>
    <w:rsid w:val="009D1E59"/>
    <w:rsid w:val="009E0D82"/>
    <w:rsid w:val="009E4C09"/>
    <w:rsid w:val="009F1C9A"/>
    <w:rsid w:val="009F7E6B"/>
    <w:rsid w:val="00A31715"/>
    <w:rsid w:val="00A3301F"/>
    <w:rsid w:val="00A53358"/>
    <w:rsid w:val="00AA736E"/>
    <w:rsid w:val="00B11C0A"/>
    <w:rsid w:val="00B13D20"/>
    <w:rsid w:val="00B36C6E"/>
    <w:rsid w:val="00B5389D"/>
    <w:rsid w:val="00B92565"/>
    <w:rsid w:val="00BA2122"/>
    <w:rsid w:val="00BE46AF"/>
    <w:rsid w:val="00C07FB6"/>
    <w:rsid w:val="00C47C93"/>
    <w:rsid w:val="00C65AF4"/>
    <w:rsid w:val="00C877E5"/>
    <w:rsid w:val="00CC1807"/>
    <w:rsid w:val="00CC2C0D"/>
    <w:rsid w:val="00D014B1"/>
    <w:rsid w:val="00D20D77"/>
    <w:rsid w:val="00D71E95"/>
    <w:rsid w:val="00D90DB9"/>
    <w:rsid w:val="00DC1FD2"/>
    <w:rsid w:val="00DE6F83"/>
    <w:rsid w:val="00DF74F6"/>
    <w:rsid w:val="00E24429"/>
    <w:rsid w:val="00E25B2A"/>
    <w:rsid w:val="00E56308"/>
    <w:rsid w:val="00E7209A"/>
    <w:rsid w:val="00E72F69"/>
    <w:rsid w:val="00E765F1"/>
    <w:rsid w:val="00E776B4"/>
    <w:rsid w:val="00EB4D7E"/>
    <w:rsid w:val="00EE7EF2"/>
    <w:rsid w:val="00F01BE7"/>
    <w:rsid w:val="00F33E22"/>
    <w:rsid w:val="00F762D1"/>
    <w:rsid w:val="00FA1186"/>
    <w:rsid w:val="00FA2BD9"/>
    <w:rsid w:val="00FA66C6"/>
    <w:rsid w:val="00FB3FB2"/>
    <w:rsid w:val="00FD1EA9"/>
    <w:rsid w:val="00FE0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0C4"/>
  </w:style>
  <w:style w:type="paragraph" w:styleId="Heading1">
    <w:name w:val="heading 1"/>
    <w:basedOn w:val="Normal"/>
    <w:next w:val="Normal"/>
    <w:link w:val="Heading1Char"/>
    <w:qFormat/>
    <w:rsid w:val="005C25C2"/>
    <w:pPr>
      <w:keepNext/>
      <w:tabs>
        <w:tab w:val="left" w:pos="360"/>
      </w:tabs>
      <w:spacing w:after="0" w:line="240" w:lineRule="auto"/>
      <w:jc w:val="center"/>
      <w:outlineLvl w:val="0"/>
    </w:pPr>
    <w:rPr>
      <w:rFonts w:ascii="New Century Schlbk" w:eastAsia="Times New Roman" w:hAnsi="New Century Schlbk" w:cs="Times New Roman"/>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F83"/>
    <w:rPr>
      <w:color w:val="0000FF" w:themeColor="hyperlink"/>
      <w:u w:val="single"/>
    </w:rPr>
  </w:style>
  <w:style w:type="character" w:customStyle="1" w:styleId="Heading1Char">
    <w:name w:val="Heading 1 Char"/>
    <w:basedOn w:val="DefaultParagraphFont"/>
    <w:link w:val="Heading1"/>
    <w:rsid w:val="005C25C2"/>
    <w:rPr>
      <w:rFonts w:ascii="New Century Schlbk" w:eastAsia="Times New Roman" w:hAnsi="New Century Schlbk" w:cs="Times New Roman"/>
      <w:sz w:val="34"/>
      <w:szCs w:val="20"/>
    </w:rPr>
  </w:style>
  <w:style w:type="table" w:styleId="TableGrid">
    <w:name w:val="Table Grid"/>
    <w:basedOn w:val="TableNormal"/>
    <w:rsid w:val="005C25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C25C2"/>
    <w:pPr>
      <w:tabs>
        <w:tab w:val="left" w:pos="360"/>
        <w:tab w:val="left" w:pos="720"/>
        <w:tab w:val="left" w:pos="1800"/>
      </w:tabs>
      <w:spacing w:after="0" w:line="240" w:lineRule="auto"/>
      <w:ind w:left="1800" w:hanging="180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C25C2"/>
    <w:rPr>
      <w:rFonts w:ascii="Times New Roman" w:eastAsia="Times New Roman" w:hAnsi="Times New Roman" w:cs="Times New Roman"/>
      <w:sz w:val="24"/>
      <w:szCs w:val="20"/>
    </w:rPr>
  </w:style>
  <w:style w:type="paragraph" w:styleId="NormalWeb">
    <w:name w:val="Normal (Web)"/>
    <w:basedOn w:val="Normal"/>
    <w:rsid w:val="005C25C2"/>
    <w:pPr>
      <w:spacing w:before="100" w:beforeAutospacing="1" w:after="100" w:afterAutospacing="1" w:line="240" w:lineRule="auto"/>
    </w:pPr>
    <w:rPr>
      <w:rFonts w:ascii="Arial Unicode MS" w:eastAsia="Arial Unicode MS" w:hAnsi="Arial Unicode MS" w:cs="Arial Unicode MS"/>
      <w:sz w:val="24"/>
      <w:szCs w:val="24"/>
    </w:rPr>
  </w:style>
  <w:style w:type="paragraph" w:styleId="NoSpacing">
    <w:name w:val="No Spacing"/>
    <w:uiPriority w:val="1"/>
    <w:qFormat/>
    <w:rsid w:val="00565195"/>
    <w:pPr>
      <w:spacing w:after="0" w:line="240" w:lineRule="auto"/>
    </w:pPr>
  </w:style>
  <w:style w:type="character" w:styleId="Strong">
    <w:name w:val="Strong"/>
    <w:basedOn w:val="DefaultParagraphFont"/>
    <w:uiPriority w:val="22"/>
    <w:qFormat/>
    <w:rsid w:val="00565195"/>
    <w:rPr>
      <w:b/>
      <w:bCs/>
    </w:rPr>
  </w:style>
  <w:style w:type="paragraph" w:styleId="Title">
    <w:name w:val="Title"/>
    <w:basedOn w:val="Normal"/>
    <w:next w:val="Normal"/>
    <w:link w:val="TitleChar"/>
    <w:uiPriority w:val="10"/>
    <w:qFormat/>
    <w:rsid w:val="005651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519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297102">
      <w:bodyDiv w:val="1"/>
      <w:marLeft w:val="0"/>
      <w:marRight w:val="0"/>
      <w:marTop w:val="0"/>
      <w:marBottom w:val="0"/>
      <w:divBdr>
        <w:top w:val="none" w:sz="0" w:space="0" w:color="auto"/>
        <w:left w:val="none" w:sz="0" w:space="0" w:color="auto"/>
        <w:bottom w:val="none" w:sz="0" w:space="0" w:color="auto"/>
        <w:right w:val="none" w:sz="0" w:space="0" w:color="auto"/>
      </w:divBdr>
    </w:div>
    <w:div w:id="1707018813">
      <w:bodyDiv w:val="1"/>
      <w:marLeft w:val="0"/>
      <w:marRight w:val="0"/>
      <w:marTop w:val="0"/>
      <w:marBottom w:val="0"/>
      <w:divBdr>
        <w:top w:val="none" w:sz="0" w:space="0" w:color="auto"/>
        <w:left w:val="none" w:sz="0" w:space="0" w:color="auto"/>
        <w:bottom w:val="none" w:sz="0" w:space="0" w:color="auto"/>
        <w:right w:val="none" w:sz="0" w:space="0" w:color="auto"/>
      </w:divBdr>
    </w:div>
    <w:div w:id="186655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Class2013</dc:creator>
  <cp:lastModifiedBy>Murrae Bowden</cp:lastModifiedBy>
  <cp:revision>5</cp:revision>
  <cp:lastPrinted>2011-05-23T19:59:00Z</cp:lastPrinted>
  <dcterms:created xsi:type="dcterms:W3CDTF">2012-02-11T06:25:00Z</dcterms:created>
  <dcterms:modified xsi:type="dcterms:W3CDTF">2012-06-28T17:22:00Z</dcterms:modified>
</cp:coreProperties>
</file>